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Fire Safety Policy</w:t>
      </w:r>
    </w:p>
    <w:p>
      <w:pPr>
        <w:spacing w:after="800"/>
        <w:jc w:val="center"/>
      </w:pPr>
      <w:r>
        <w:rPr>
          <w:rFonts w:ascii="Calibri" w:cs="Calibri" w:eastAsia="Calibri" w:hAnsi="Calibri"/>
          <w:color w:val="666666"/>
          <w:sz w:val="24"/>
          <w:szCs w:val="24"/>
        </w:rPr>
        <w:t xml:space="preserve">FSO 2005 | ISO 45001:2018 cl.8.2 | Building Safety Act 2022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FEM-POL-001</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[Health &amp; Safety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policy sets out [Company Name]'s commitment to fire safety across all premises under its control. It establishes the framework for preventing fire, protecting life, and minimising damage to property and the environment.</w:t>
      </w:r>
    </w:p>
    <w:p>
      <w:pPr>
        <w:spacing w:after="120" w:line="300"/>
      </w:pPr>
      <w:r>
        <w:rPr>
          <w:rFonts w:ascii="Calibri" w:cs="Calibri" w:eastAsia="Calibri" w:hAnsi="Calibri"/>
          <w:color w:val="333333"/>
          <w:sz w:val="21"/>
          <w:szCs w:val="21"/>
        </w:rPr>
        <w:t xml:space="preserve">This policy is a legal requirement under the Regulatory Reform (Fire Safety) Order 2005 (FSO) and supports compliance with ISO 45001:2018 Clause 8.2 (Emergency preparedness and response) and the Building Safety Act 2022.</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This policy applies to all premises owned, leased, or managed by [Company Name], including offices, manufacturing facilities, warehouses, and any temporary work locations. It covers all employees, contractors, visitors, and any other persons who may be affected by fire at our premises.</w:t>
      </w:r>
    </w:p>
    <w:p>
      <w:pPr>
        <w:pStyle w:val="Heading1"/>
        <w:pBdr>
          <w:bottom w:val="single" w:color="E8EFF7" w:sz="1"/>
        </w:pBdr>
        <w:spacing w:before="400" w:after="100"/>
      </w:pPr>
      <w:r>
        <w:rPr>
          <w:rFonts w:ascii="Calibri" w:cs="Calibri" w:eastAsia="Calibri" w:hAnsi="Calibri"/>
          <w:b/>
          <w:bCs/>
          <w:color w:val="1B3A5C"/>
          <w:sz w:val="28"/>
          <w:szCs w:val="28"/>
        </w:rPr>
        <w:t xml:space="preserve">3. Policy Statement</w:t>
      </w:r>
    </w:p>
    <w:p>
      <w:pPr>
        <w:spacing w:after="120" w:line="300"/>
      </w:pPr>
      <w:r>
        <w:rPr>
          <w:rFonts w:ascii="Calibri" w:cs="Calibri" w:eastAsia="Calibri" w:hAnsi="Calibri"/>
          <w:color w:val="333333"/>
          <w:sz w:val="21"/>
          <w:szCs w:val="21"/>
        </w:rPr>
        <w:t xml:space="preserve">[Company Name] is committed to:</w:t>
      </w:r>
    </w:p>
    <w:p>
      <w:pPr>
        <w:spacing w:after="120" w:line="300"/>
      </w:pPr>
      <w:r>
        <w:rPr>
          <w:rFonts w:ascii="Calibri" w:cs="Calibri" w:eastAsia="Calibri" w:hAnsi="Calibri"/>
          <w:color w:val="333333"/>
          <w:sz w:val="21"/>
          <w:szCs w:val="21"/>
        </w:rPr>
        <w:t xml:space="preserve">Preventing fire through systematic identification and elimination or reduction of fire hazards as far as is reasonably practicable.</w:t>
      </w:r>
    </w:p>
    <w:p>
      <w:pPr>
        <w:spacing w:after="120" w:line="300"/>
      </w:pPr>
      <w:r>
        <w:rPr>
          <w:rFonts w:ascii="Calibri" w:cs="Calibri" w:eastAsia="Calibri" w:hAnsi="Calibri"/>
          <w:color w:val="333333"/>
          <w:sz w:val="21"/>
          <w:szCs w:val="21"/>
        </w:rPr>
        <w:t xml:space="preserve">Protecting life by ensuring robust means of escape, detection and warning systems, and emergency procedures are in place, tested, and maintained.</w:t>
      </w:r>
    </w:p>
    <w:p>
      <w:pPr>
        <w:spacing w:after="120" w:line="300"/>
      </w:pPr>
      <w:r>
        <w:rPr>
          <w:rFonts w:ascii="Calibri" w:cs="Calibri" w:eastAsia="Calibri" w:hAnsi="Calibri"/>
          <w:color w:val="333333"/>
          <w:sz w:val="21"/>
          <w:szCs w:val="21"/>
        </w:rPr>
        <w:t xml:space="preserve">Protecting property through appropriate fire prevention measures, fire-resistant construction, and adequate firefighting equipment.</w:t>
      </w:r>
    </w:p>
    <w:p>
      <w:pPr>
        <w:spacing w:after="120" w:line="300"/>
      </w:pPr>
      <w:r>
        <w:rPr>
          <w:rFonts w:ascii="Calibri" w:cs="Calibri" w:eastAsia="Calibri" w:hAnsi="Calibri"/>
          <w:color w:val="333333"/>
          <w:sz w:val="21"/>
          <w:szCs w:val="21"/>
        </w:rPr>
        <w:t xml:space="preserve">Complying with all applicable fire safety legislation, particularly the Regulatory Reform (Fire Safety) Order 2005 and the Building Safety Act 2022.</w:t>
      </w:r>
    </w:p>
    <w:p>
      <w:pPr>
        <w:spacing w:after="120" w:line="300"/>
      </w:pPr>
      <w:r>
        <w:rPr>
          <w:rFonts w:ascii="Calibri" w:cs="Calibri" w:eastAsia="Calibri" w:hAnsi="Calibri"/>
          <w:color w:val="333333"/>
          <w:sz w:val="21"/>
          <w:szCs w:val="21"/>
        </w:rPr>
        <w:t xml:space="preserve">Maintaining a written Fire Risk Assessment for every premises, reviewed at least annually or upon any material change.</w:t>
      </w:r>
    </w:p>
    <w:p>
      <w:pPr>
        <w:spacing w:after="120" w:line="300"/>
      </w:pPr>
      <w:r>
        <w:rPr>
          <w:rFonts w:ascii="Calibri" w:cs="Calibri" w:eastAsia="Calibri" w:hAnsi="Calibri"/>
          <w:color w:val="333333"/>
          <w:sz w:val="21"/>
          <w:szCs w:val="21"/>
        </w:rPr>
        <w:t xml:space="preserve">Providing adequate fire safety training to all employees and ensuring fire wardens are trained and competent.</w:t>
      </w:r>
    </w:p>
    <w:p>
      <w:pPr>
        <w:pStyle w:val="Heading1"/>
        <w:pBdr>
          <w:bottom w:val="single" w:color="E8EFF7" w:sz="1"/>
        </w:pBdr>
        <w:spacing w:before="400" w:after="100"/>
      </w:pPr>
      <w:r>
        <w:rPr>
          <w:rFonts w:ascii="Calibri" w:cs="Calibri" w:eastAsia="Calibri" w:hAnsi="Calibri"/>
          <w:b/>
          <w:bCs/>
          <w:color w:val="1B3A5C"/>
          <w:sz w:val="28"/>
          <w:szCs w:val="28"/>
        </w:rPr>
        <w:t xml:space="preserve">4. Legal Basis</w:t>
      </w:r>
    </w:p>
    <w:p>
      <w:pPr>
        <w:pStyle w:val="ListParagraph"/>
        <w:numPr>
          <w:ilvl w:val="0"/>
          <w:numId w:val="1"/>
        </w:numPr>
        <w:spacing w:after="60" w:line="280"/>
      </w:pPr>
      <w:r>
        <w:rPr>
          <w:rFonts w:ascii="Calibri" w:cs="Calibri" w:eastAsia="Calibri" w:hAnsi="Calibri"/>
          <w:color w:val="333333"/>
          <w:sz w:val="21"/>
          <w:szCs w:val="21"/>
        </w:rPr>
        <w:t xml:space="preserve">Regulatory Reform (Fire Safety) Order 2005 (FSO)</w:t>
      </w:r>
    </w:p>
    <w:p>
      <w:pPr>
        <w:pStyle w:val="ListParagraph"/>
        <w:numPr>
          <w:ilvl w:val="0"/>
          <w:numId w:val="1"/>
        </w:numPr>
        <w:spacing w:after="60" w:line="280"/>
      </w:pPr>
      <w:r>
        <w:rPr>
          <w:rFonts w:ascii="Calibri" w:cs="Calibri" w:eastAsia="Calibri" w:hAnsi="Calibri"/>
          <w:color w:val="333333"/>
          <w:sz w:val="21"/>
          <w:szCs w:val="21"/>
        </w:rPr>
        <w:t xml:space="preserve">Building Safety Act 2022, Section 156 (mandatory written FRA records from October 2023)</w:t>
      </w:r>
    </w:p>
    <w:p>
      <w:pPr>
        <w:pStyle w:val="ListParagraph"/>
        <w:numPr>
          <w:ilvl w:val="0"/>
          <w:numId w:val="1"/>
        </w:numPr>
        <w:spacing w:after="60" w:line="280"/>
      </w:pPr>
      <w:r>
        <w:rPr>
          <w:rFonts w:ascii="Calibri" w:cs="Calibri" w:eastAsia="Calibri" w:hAnsi="Calibri"/>
          <w:color w:val="333333"/>
          <w:sz w:val="21"/>
          <w:szCs w:val="21"/>
        </w:rPr>
        <w:t xml:space="preserve">Health and Safety at Work etc. Act 1974</w:t>
      </w:r>
    </w:p>
    <w:p>
      <w:pPr>
        <w:pStyle w:val="ListParagraph"/>
        <w:numPr>
          <w:ilvl w:val="0"/>
          <w:numId w:val="1"/>
        </w:numPr>
        <w:spacing w:after="60" w:line="280"/>
      </w:pPr>
      <w:r>
        <w:rPr>
          <w:rFonts w:ascii="Calibri" w:cs="Calibri" w:eastAsia="Calibri" w:hAnsi="Calibri"/>
          <w:color w:val="333333"/>
          <w:sz w:val="21"/>
          <w:szCs w:val="21"/>
        </w:rPr>
        <w:t xml:space="preserve">Management of Health and Safety at Work Regulations 1999</w:t>
      </w:r>
    </w:p>
    <w:p>
      <w:pPr>
        <w:pStyle w:val="ListParagraph"/>
        <w:numPr>
          <w:ilvl w:val="0"/>
          <w:numId w:val="1"/>
        </w:numPr>
        <w:spacing w:after="60" w:line="280"/>
      </w:pPr>
      <w:r>
        <w:rPr>
          <w:rFonts w:ascii="Calibri" w:cs="Calibri" w:eastAsia="Calibri" w:hAnsi="Calibri"/>
          <w:color w:val="333333"/>
          <w:sz w:val="21"/>
          <w:szCs w:val="21"/>
        </w:rPr>
        <w:t xml:space="preserve">ISO 45001:2018 Clause 8.2 — Emergency preparedness and response</w:t>
      </w:r>
    </w:p>
    <w:p>
      <w:pPr>
        <w:pStyle w:val="ListParagraph"/>
        <w:numPr>
          <w:ilvl w:val="0"/>
          <w:numId w:val="1"/>
        </w:numPr>
        <w:spacing w:after="60" w:line="280"/>
      </w:pPr>
      <w:r>
        <w:rPr>
          <w:rFonts w:ascii="Calibri" w:cs="Calibri" w:eastAsia="Calibri" w:hAnsi="Calibri"/>
          <w:color w:val="333333"/>
          <w:sz w:val="21"/>
          <w:szCs w:val="21"/>
        </w:rPr>
        <w:t xml:space="preserve">ISO 14001:2015 Clause 8.2 — Environmental emergency preparedness</w:t>
      </w:r>
    </w:p>
    <w:p>
      <w:pPr>
        <w:pStyle w:val="Heading1"/>
        <w:pBdr>
          <w:bottom w:val="single" w:color="E8EFF7" w:sz="1"/>
        </w:pBdr>
        <w:spacing w:before="400" w:after="100"/>
      </w:pPr>
      <w:r>
        <w:rPr>
          <w:rFonts w:ascii="Calibri" w:cs="Calibri" w:eastAsia="Calibri" w:hAnsi="Calibri"/>
          <w:b/>
          <w:bCs/>
          <w:color w:val="1B3A5C"/>
          <w:sz w:val="28"/>
          <w:szCs w:val="28"/>
        </w:rPr>
        <w:t xml:space="preserve">5. Responsibilities</w:t>
      </w:r>
    </w:p>
    <w:p>
      <w:pPr>
        <w:pStyle w:val="Heading2"/>
        <w:spacing w:before="200" w:after="100"/>
      </w:pPr>
      <w:r>
        <w:rPr>
          <w:rFonts w:ascii="Calibri" w:cs="Calibri" w:eastAsia="Calibri" w:hAnsi="Calibri"/>
          <w:b/>
          <w:bCs/>
          <w:color w:val="1B3A5C"/>
          <w:sz w:val="24"/>
          <w:szCs w:val="24"/>
        </w:rPr>
        <w:t xml:space="preserve">5.1 Responsible Person (FSO)</w:t>
      </w:r>
    </w:p>
    <w:p>
      <w:pPr>
        <w:spacing w:after="120" w:line="300"/>
      </w:pPr>
      <w:r>
        <w:rPr>
          <w:rFonts w:ascii="Calibri" w:cs="Calibri" w:eastAsia="Calibri" w:hAnsi="Calibri"/>
          <w:color w:val="333333"/>
          <w:sz w:val="21"/>
          <w:szCs w:val="21"/>
        </w:rPr>
        <w:t xml:space="preserve">The Responsible Person for each premises is designated in the Premises Register. They hold overall accountability for fire safety compliance at that premises, including ensuring Fire Risk Assessments are current, fire precautions are maintained, and emergency plans are in place.</w:t>
      </w:r>
    </w:p>
    <w:p>
      <w:pPr>
        <w:pStyle w:val="Heading2"/>
        <w:spacing w:before="200" w:after="100"/>
      </w:pPr>
      <w:r>
        <w:rPr>
          <w:rFonts w:ascii="Calibri" w:cs="Calibri" w:eastAsia="Calibri" w:hAnsi="Calibri"/>
          <w:b/>
          <w:bCs/>
          <w:color w:val="1B3A5C"/>
          <w:sz w:val="24"/>
          <w:szCs w:val="24"/>
        </w:rPr>
        <w:t xml:space="preserve">5.2 Senior Management</w:t>
      </w:r>
    </w:p>
    <w:p>
      <w:pPr>
        <w:spacing w:after="120" w:line="300"/>
      </w:pPr>
      <w:r>
        <w:rPr>
          <w:rFonts w:ascii="Calibri" w:cs="Calibri" w:eastAsia="Calibri" w:hAnsi="Calibri"/>
          <w:color w:val="333333"/>
          <w:sz w:val="21"/>
          <w:szCs w:val="21"/>
        </w:rPr>
        <w:t xml:space="preserve">Senior management shall provide adequate resources for fire safety, review fire safety performance at least annually, and ensure this policy is communicated to all relevant persons.</w:t>
      </w:r>
    </w:p>
    <w:p>
      <w:pPr>
        <w:pStyle w:val="Heading2"/>
        <w:spacing w:before="200" w:after="100"/>
      </w:pPr>
      <w:r>
        <w:rPr>
          <w:rFonts w:ascii="Calibri" w:cs="Calibri" w:eastAsia="Calibri" w:hAnsi="Calibri"/>
          <w:b/>
          <w:bCs/>
          <w:color w:val="1B3A5C"/>
          <w:sz w:val="24"/>
          <w:szCs w:val="24"/>
        </w:rPr>
        <w:t xml:space="preserve">5.3 Managers and Supervisors</w:t>
      </w:r>
    </w:p>
    <w:p>
      <w:pPr>
        <w:spacing w:after="120" w:line="300"/>
      </w:pPr>
      <w:r>
        <w:rPr>
          <w:rFonts w:ascii="Calibri" w:cs="Calibri" w:eastAsia="Calibri" w:hAnsi="Calibri"/>
          <w:color w:val="333333"/>
          <w:sz w:val="21"/>
          <w:szCs w:val="21"/>
        </w:rPr>
        <w:t xml:space="preserve">All managers shall ensure fire safety arrangements are implemented in their areas, fire exit routes are kept clear, fire doors are not propped open, and staff are aware of evacuation procedures.</w:t>
      </w:r>
    </w:p>
    <w:p>
      <w:pPr>
        <w:pStyle w:val="Heading2"/>
        <w:spacing w:before="200" w:after="100"/>
      </w:pPr>
      <w:r>
        <w:rPr>
          <w:rFonts w:ascii="Calibri" w:cs="Calibri" w:eastAsia="Calibri" w:hAnsi="Calibri"/>
          <w:b/>
          <w:bCs/>
          <w:color w:val="1B3A5C"/>
          <w:sz w:val="24"/>
          <w:szCs w:val="24"/>
        </w:rPr>
        <w:t xml:space="preserve">5.4 Fire Wardens</w:t>
      </w:r>
    </w:p>
    <w:p>
      <w:pPr>
        <w:spacing w:after="120" w:line="300"/>
      </w:pPr>
      <w:r>
        <w:rPr>
          <w:rFonts w:ascii="Calibri" w:cs="Calibri" w:eastAsia="Calibri" w:hAnsi="Calibri"/>
          <w:color w:val="333333"/>
          <w:sz w:val="21"/>
          <w:szCs w:val="21"/>
        </w:rPr>
        <w:t xml:space="preserve">Fire wardens are appointed for each area/floor as per the ICS (Incident Command System) structure. They shall receive accredited fire warden training (minimum half-day), undertake regular area sweeps, lead evacuation of their zones, and report to the Incident Commander at the assembly point.</w:t>
      </w:r>
    </w:p>
    <w:p>
      <w:pPr>
        <w:pStyle w:val="Heading2"/>
        <w:spacing w:before="200" w:after="100"/>
      </w:pPr>
      <w:r>
        <w:rPr>
          <w:rFonts w:ascii="Calibri" w:cs="Calibri" w:eastAsia="Calibri" w:hAnsi="Calibri"/>
          <w:b/>
          <w:bCs/>
          <w:color w:val="1B3A5C"/>
          <w:sz w:val="24"/>
          <w:szCs w:val="24"/>
        </w:rPr>
        <w:t xml:space="preserve">5.5 All Employees</w:t>
      </w:r>
    </w:p>
    <w:p>
      <w:pPr>
        <w:spacing w:after="120" w:line="300"/>
      </w:pPr>
      <w:r>
        <w:rPr>
          <w:rFonts w:ascii="Calibri" w:cs="Calibri" w:eastAsia="Calibri" w:hAnsi="Calibri"/>
          <w:color w:val="333333"/>
          <w:sz w:val="21"/>
          <w:szCs w:val="21"/>
        </w:rPr>
        <w:t xml:space="preserve">All employees shall familiarise themselves with evacuation procedures, assembly points, and the location of fire exits and firefighting equipment. They shall report any fire hazards, damaged equipment, or blocked exits immediately.</w:t>
      </w:r>
    </w:p>
    <w:p>
      <w:pPr>
        <w:pStyle w:val="Heading1"/>
        <w:pBdr>
          <w:bottom w:val="single" w:color="E8EFF7" w:sz="1"/>
        </w:pBdr>
        <w:spacing w:before="400" w:after="100"/>
      </w:pPr>
      <w:r>
        <w:rPr>
          <w:rFonts w:ascii="Calibri" w:cs="Calibri" w:eastAsia="Calibri" w:hAnsi="Calibri"/>
          <w:b/>
          <w:bCs/>
          <w:color w:val="1B3A5C"/>
          <w:sz w:val="28"/>
          <w:szCs w:val="28"/>
        </w:rPr>
        <w:t xml:space="preserve">6. Fire Risk Assessment</w:t>
      </w:r>
    </w:p>
    <w:p>
      <w:pPr>
        <w:spacing w:after="120" w:line="300"/>
      </w:pPr>
      <w:r>
        <w:rPr>
          <w:rFonts w:ascii="Calibri" w:cs="Calibri" w:eastAsia="Calibri" w:hAnsi="Calibri"/>
          <w:color w:val="333333"/>
          <w:sz w:val="21"/>
          <w:szCs w:val="21"/>
        </w:rPr>
        <w:t xml:space="preserve">A fire risk assessment (FRA) shall be conducted for every premises by a competent person using the FSO 5-step methodology:</w:t>
      </w:r>
    </w:p>
    <w:p>
      <w:pPr>
        <w:spacing w:after="120" w:line="300"/>
      </w:pPr>
      <w:r>
        <w:rPr>
          <w:rFonts w:ascii="Calibri" w:cs="Calibri" w:eastAsia="Calibri" w:hAnsi="Calibri"/>
          <w:color w:val="333333"/>
          <w:sz w:val="21"/>
          <w:szCs w:val="21"/>
        </w:rPr>
        <w:t xml:space="preserve">Step 1: Identify fire hazards (ignition sources, fuel sources, oxygen sources)
Step 2: Identify people at risk (including vulnerable persons requiring PEEPs)
Step 3: Evaluate, remove, reduce, and protect from risk
Step 4: Record findings, prepare emergency plan, inform and train staff
Step 5: Review regularly (at least annually) and upon any material change</w:t>
      </w:r>
    </w:p>
    <w:p>
      <w:pPr>
        <w:spacing w:after="120" w:line="300"/>
      </w:pPr>
      <w:r>
        <w:rPr>
          <w:rFonts w:ascii="Calibri" w:cs="Calibri" w:eastAsia="Calibri" w:hAnsi="Calibri"/>
          <w:color w:val="333333"/>
          <w:sz w:val="21"/>
          <w:szCs w:val="21"/>
        </w:rPr>
        <w:t xml:space="preserve">All FRAs must have a full written record as required by the Building Safety Act 2022.</w:t>
      </w:r>
    </w:p>
    <w:p>
      <w:pPr>
        <w:pStyle w:val="Heading1"/>
        <w:pBdr>
          <w:bottom w:val="single" w:color="E8EFF7" w:sz="1"/>
        </w:pBdr>
        <w:spacing w:before="400" w:after="100"/>
      </w:pPr>
      <w:r>
        <w:rPr>
          <w:rFonts w:ascii="Calibri" w:cs="Calibri" w:eastAsia="Calibri" w:hAnsi="Calibri"/>
          <w:b/>
          <w:bCs/>
          <w:color w:val="1B3A5C"/>
          <w:sz w:val="28"/>
          <w:szCs w:val="28"/>
        </w:rPr>
        <w:t xml:space="preserve">7. Personal Emergency Evacuation Plans (PEEPs)</w:t>
      </w:r>
    </w:p>
    <w:p>
      <w:pPr>
        <w:spacing w:after="120" w:line="300"/>
      </w:pPr>
      <w:r>
        <w:rPr>
          <w:rFonts w:ascii="Calibri" w:cs="Calibri" w:eastAsia="Calibri" w:hAnsi="Calibri"/>
          <w:color w:val="333333"/>
          <w:sz w:val="21"/>
          <w:szCs w:val="21"/>
        </w:rPr>
        <w:t xml:space="preserve">Any person who may require assistance to evacuate due to disability, medical condition, pregnancy, or other factor shall have a Personal Emergency Evacuation Plan (PEEP) prepared, agreed with the individual, and reviewed at least annually or upon any change in circumstances.</w:t>
      </w:r>
    </w:p>
    <w:p>
      <w:pPr>
        <w:pStyle w:val="Heading1"/>
        <w:pBdr>
          <w:bottom w:val="single" w:color="E8EFF7" w:sz="1"/>
        </w:pBdr>
        <w:spacing w:before="400" w:after="100"/>
      </w:pPr>
      <w:r>
        <w:rPr>
          <w:rFonts w:ascii="Calibri" w:cs="Calibri" w:eastAsia="Calibri" w:hAnsi="Calibri"/>
          <w:b/>
          <w:bCs/>
          <w:color w:val="1B3A5C"/>
          <w:sz w:val="28"/>
          <w:szCs w:val="28"/>
        </w:rPr>
        <w:t xml:space="preserve">8. Emergency Equipment</w:t>
      </w:r>
    </w:p>
    <w:p>
      <w:pPr>
        <w:spacing w:after="120" w:line="300"/>
      </w:pPr>
      <w:r>
        <w:rPr>
          <w:rFonts w:ascii="Calibri" w:cs="Calibri" w:eastAsia="Calibri" w:hAnsi="Calibri"/>
          <w:color w:val="333333"/>
          <w:sz w:val="21"/>
          <w:szCs w:val="21"/>
        </w:rPr>
        <w:t xml:space="preserve">All fire detection, alarm, firefighting, and emergency lighting equipment shall be maintained, serviced, and inspected in accordance with manufacturer requirements and relevant British Standards. Inspection and service records shall be maintained.</w:t>
      </w:r>
    </w:p>
    <w:p>
      <w:pPr>
        <w:pStyle w:val="Heading1"/>
        <w:pBdr>
          <w:bottom w:val="single" w:color="E8EFF7" w:sz="1"/>
        </w:pBdr>
        <w:spacing w:before="400" w:after="100"/>
      </w:pPr>
      <w:r>
        <w:rPr>
          <w:rFonts w:ascii="Calibri" w:cs="Calibri" w:eastAsia="Calibri" w:hAnsi="Calibri"/>
          <w:b/>
          <w:bCs/>
          <w:color w:val="1B3A5C"/>
          <w:sz w:val="28"/>
          <w:szCs w:val="28"/>
        </w:rPr>
        <w:t xml:space="preserve">9. Evacuation Drills</w:t>
      </w:r>
    </w:p>
    <w:p>
      <w:pPr>
        <w:spacing w:after="120" w:line="300"/>
      </w:pPr>
      <w:r>
        <w:rPr>
          <w:rFonts w:ascii="Calibri" w:cs="Calibri" w:eastAsia="Calibri" w:hAnsi="Calibri"/>
          <w:color w:val="333333"/>
          <w:sz w:val="21"/>
          <w:szCs w:val="21"/>
        </w:rPr>
        <w:t xml:space="preserve">Evacuation drills shall be conducted at least twice per year for each premises (at least one unannounced). Drill records including evacuation times, issues found, and corrective actions shall be maintained.</w:t>
      </w:r>
    </w:p>
    <w:p>
      <w:pPr>
        <w:pStyle w:val="Heading1"/>
        <w:pBdr>
          <w:bottom w:val="single" w:color="E8EFF7" w:sz="1"/>
        </w:pBdr>
        <w:spacing w:before="400" w:after="100"/>
      </w:pPr>
      <w:r>
        <w:rPr>
          <w:rFonts w:ascii="Calibri" w:cs="Calibri" w:eastAsia="Calibri" w:hAnsi="Calibri"/>
          <w:b/>
          <w:bCs/>
          <w:color w:val="1B3A5C"/>
          <w:sz w:val="28"/>
          <w:szCs w:val="28"/>
        </w:rPr>
        <w:t xml:space="preserve">10. Training</w:t>
      </w:r>
    </w:p>
    <w:p>
      <w:pPr>
        <w:spacing w:after="120" w:line="300"/>
      </w:pPr>
      <w:r>
        <w:rPr>
          <w:rFonts w:ascii="Calibri" w:cs="Calibri" w:eastAsia="Calibri" w:hAnsi="Calibri"/>
          <w:color w:val="333333"/>
          <w:sz w:val="21"/>
          <w:szCs w:val="21"/>
        </w:rPr>
        <w:t xml:space="preserve">All employees shall receive fire safety induction training on joining and refresher training at least annually. Fire wardens shall receive accredited fire warden training with annual refresher.</w:t>
      </w:r>
    </w:p>
    <w:p>
      <w:pPr>
        <w:pStyle w:val="Heading1"/>
        <w:pBdr>
          <w:bottom w:val="single" w:color="E8EFF7" w:sz="1"/>
        </w:pBdr>
        <w:spacing w:before="400" w:after="100"/>
      </w:pPr>
      <w:r>
        <w:rPr>
          <w:rFonts w:ascii="Calibri" w:cs="Calibri" w:eastAsia="Calibri" w:hAnsi="Calibri"/>
          <w:b/>
          <w:bCs/>
          <w:color w:val="1B3A5C"/>
          <w:sz w:val="28"/>
          <w:szCs w:val="28"/>
        </w:rPr>
        <w:t xml:space="preserve">11. Review</w:t>
      </w:r>
    </w:p>
    <w:p>
      <w:pPr>
        <w:spacing w:after="120" w:line="300"/>
      </w:pPr>
      <w:r>
        <w:rPr>
          <w:rFonts w:ascii="Calibri" w:cs="Calibri" w:eastAsia="Calibri" w:hAnsi="Calibri"/>
          <w:color w:val="333333"/>
          <w:sz w:val="21"/>
          <w:szCs w:val="21"/>
        </w:rPr>
        <w:t xml:space="preserve">This policy shall be reviewed annually or upon any significant change in legislation, premises, or after any fire incident. The next scheduled review date is [DD/MM/YYYY].</w:t>
      </w:r>
    </w:p>
    <w:p>
      <w:pPr>
        <w:pStyle w:val="Heading1"/>
        <w:pBdr>
          <w:bottom w:val="single" w:color="E8EFF7" w:sz="1"/>
        </w:pBdr>
        <w:spacing w:before="400" w:after="100"/>
      </w:pPr>
      <w:r>
        <w:rPr>
          <w:rFonts w:ascii="Calibri" w:cs="Calibri" w:eastAsia="Calibri" w:hAnsi="Calibri"/>
          <w:b/>
          <w:bCs/>
          <w:color w:val="1B3A5C"/>
          <w:sz w:val="28"/>
          <w:szCs w:val="28"/>
        </w:rP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Name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Signature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Prepared by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Reviewed by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Approved by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[Managing Director]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bl>
    <w:p>
      <w:pPr>
        <w:spacing w:after="200"/>
      </w:pP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FEM-POL-001  |  v1.0  |  FSO 2005 | ISO 45001:2018 cl.8.2 | Building Safety Act 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2026-02-16T20:41:21.439Z</dcterms:created>
  <dcterms:modified xsi:type="dcterms:W3CDTF">2026-02-16T20:41:21.440Z</dcterms:modified>
</cp:coreProperties>
</file>

<file path=docProps/custom.xml><?xml version="1.0" encoding="utf-8"?>
<Properties xmlns="http://schemas.openxmlformats.org/officeDocument/2006/custom-properties" xmlns:vt="http://schemas.openxmlformats.org/officeDocument/2006/docPropsVTypes"/>
</file>