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Fire Risk Assessment Procedure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FSO 2005 Article 9 | PAS 79-1:2020 | Building Safety Act 2022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FEM-PRO-001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procedure defines the process for conducting, recording, and reviewing Fire Risk Assessments (FRAs) in compliance with the Regulatory Reform (Fire Safety) Order 2005 Article 9 and the Building Safety Act 2022 Section 156.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Applies to all non-domestic premises owned, leased, or managed by [Company Name].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Legal Basis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FSO 2005 Article 9 — Duty to carry out risk assessment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FSO 2005 Article 11 — Duty to record significant findings for 5+ employees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Building Safety Act 2022 s.156 — Full written record of assessment mandatory (from October 2023)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PAS 79-1:2020 — Fire risk assessment guidance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Definitions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Responsible Person (RP): Person with control of premises (employer, owner, occupier)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Competent Person: Assessor with adequate training, knowledge, experience (BAFE/IFE/IFSM)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Material Change: Any change that may affect fire risk (layout, use, occupancy, process)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Responsibilities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5.1 Responsible Person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Ensure a suitable and sufficient FRA is carried out by a competent person. Ensure findings are acted upon. Ensure records are maintained and shared with incoming RP on change of ownership/management.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5.2 Fire Risk Assessor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Conduct the assessment using the FSO 5-step methodology. Document all findings. Provide prioritised action plan.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Procedure — FSO 5-Step Fire Risk Assessment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6.1 Step 1: Identify Fire Hazards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Systematically identify: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Ignition Sources: Electrical equipment, hot work, smoking, arson potential, cooking, heating, machinery, static electricity, naked flames, lightning.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Fuel Sources: Paper/cardboard, wood, flammable liquids, textiles, plastics, rubber, waste materials, furniture, packaging.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Oxygen Sources: Natural air, air conditioning systems, oxygen cylinders, oxidising chemicals, ventilation systems.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 each hazard identified, record location, quantity, and proximity to ignition/fuel/oxygen.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6.2 Step 2: Identify People at Risk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Record numbers of: employees, visitors, contractors, members of the public who may be present. Identify persons who may be especially at risk: persons with mobility impairment (require PEEP), persons with visual/hearing/cognitive impairment, lone workers, night workers, young persons, pregnant employees, persons unfamiliar with premises.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6.3 Step 3: Evaluate, Remove, Reduce, Protect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Assess adequacy of existing fire precautions across six categories: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1. Fire Detection and Warning — Type, coverage, maintenance status
2. Means of Escape — Routes, travel distances, signage, lighting
3. Emergency Lighting — Coverage, testing regime, battery backup
4. Firefighting Equipment — Type, location, suitability, maintenance
5. Signs and Notices — Fire action notices, exit signs, extinguisher signs
6. Management and Maintenance — Housekeeping, testing, training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Apply 5x5 risk matrix: Likelihood (1-5) × Consequence (1-5) = Risk Score
Risk Levels: Trivial (1-2), Low (3-4), Medium (5-9), High (10-14), Very High (15-19), Intolerable (20-25)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6.4 Step 4: Record, Plan, Inform, Instruct, Train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Record all significant findings in the FRA report. Prepare prioritised action plan with: finding, required action, priority (Critical/High/Medium/Low), responsible person, target date. Inform all relevant persons of the findings. Ensure emergency plan is in place. Arrange or confirm fire safety training for staff.</w:t>
      </w:r>
    </w:p>
    <w:p>
      <w:pPr>
        <w:pStyle w:val="Heading2"/>
        <w:spacing w:before="200" w:after="1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6.5 Step 5: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Review the FRA: at least annually, after any fire or significant near-miss, upon any material change to premises (layout, use, process, occupancy), when requested by the fire authority, after any significant building work.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Record the trigger for review and any changes made.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Building Safety Act Compliance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From October 2023, the following are mandatory: Full written record of the fire risk assessment (not just significant findings). Fire safety arrangements must be documented. Records must be shared with incoming Responsible Person on change of management/ownership.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Records Retention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FRA records shall be retained for the life of the building or a minimum of 40 years, whichever is longer. Superseded FRAs shall be archived, not destroyed.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Appendix A: FRA Competency Criteria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assessor shall demonstrate: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Formal fire safety qualification (IFE, NEBOSH Fire Certificate, or equivalent)
Membership of relevant professional body (IFE, IFSM) or BAFE registration
Minimum 2 years' practical fire risk assessment experience
Knowledge of current fire safety legislation and guidance
CPD record demonstrating ongoing competence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Prepared by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Approved by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[Managing Director]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FEM-PRO-001  |  v1.0  |  FSO 2005 Article 9 | PAS 79-1:2020 | Building Safety Act 2022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2026-02-16T20:41:21.842Z</dcterms:created>
  <dcterms:modified xsi:type="dcterms:W3CDTF">2026-02-16T20:41:21.842Z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