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Business Continuity Activation Procedure</w:t>
      </w:r>
    </w:p>
    <w:p>
      <w:pPr>
        <w:spacing w:after="800"/>
        <w:jc w:val="center"/>
      </w:pPr>
      <w:r>
        <w:rPr>
          <w:rFonts w:ascii="Calibri" w:cs="Calibri" w:eastAsia="Calibri" w:hAnsi="Calibri"/>
          <w:color w:val="666666"/>
          <w:sz w:val="24"/>
          <w:szCs w:val="24"/>
        </w:rPr>
        <w:t xml:space="preserve">ISO 22301:2019</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FEM-PRO-005</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[Business Continuity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This procedure defines the process for activating, managing, and deactivating Business Continuity Plans (BCPs) following a disruptive event.</w:t>
      </w:r>
    </w:p>
    <w:p>
      <w:pPr>
        <w:pStyle w:val="Heading1"/>
        <w:pBdr>
          <w:bottom w:val="single" w:color="E8EFF7" w:sz="1"/>
        </w:pBdr>
        <w:spacing w:before="400" w:after="100"/>
      </w:pPr>
      <w:r>
        <w:rPr>
          <w:rFonts w:ascii="Calibri" w:cs="Calibri" w:eastAsia="Calibri" w:hAnsi="Calibri"/>
          <w:b/>
          <w:bCs/>
          <w:color w:val="1B3A5C"/>
          <w:sz w:val="28"/>
          <w:szCs w:val="28"/>
        </w:rPr>
        <w:t xml:space="preserve">2. Trigger Criteria</w:t>
      </w:r>
    </w:p>
    <w:p>
      <w:pPr>
        <w:spacing w:after="120" w:line="300"/>
      </w:pPr>
      <w:r>
        <w:rPr>
          <w:rFonts w:ascii="Calibri" w:cs="Calibri" w:eastAsia="Calibri" w:hAnsi="Calibri"/>
          <w:color w:val="333333"/>
          <w:sz w:val="21"/>
          <w:szCs w:val="21"/>
        </w:rPr>
        <w:t xml:space="preserve">BCP activation shall be considered when:</w:t>
      </w:r>
    </w:p>
    <w:p>
      <w:pPr>
        <w:spacing w:after="120" w:line="300"/>
      </w:pPr>
      <w:r>
        <w:rPr>
          <w:rFonts w:ascii="Calibri" w:cs="Calibri" w:eastAsia="Calibri" w:hAnsi="Calibri"/>
          <w:color w:val="333333"/>
          <w:sz w:val="21"/>
          <w:szCs w:val="21"/>
        </w:rPr>
        <w:t xml:space="preserve">A disruption has occurred or is imminent that threatens critical business functions.
The estimated duration of disruption exceeds the RTO of any critical function.
Normal incident management is insufficient to manage the situation.
Multiple business functions are affected simultaneously.
The disruption has significant financial, reputational, or regulatory impact.</w:t>
      </w:r>
    </w:p>
    <w:p>
      <w:pPr>
        <w:pStyle w:val="Heading1"/>
        <w:pBdr>
          <w:bottom w:val="single" w:color="E8EFF7" w:sz="1"/>
        </w:pBdr>
        <w:spacing w:before="400" w:after="100"/>
      </w:pPr>
      <w:r>
        <w:rPr>
          <w:rFonts w:ascii="Calibri" w:cs="Calibri" w:eastAsia="Calibri" w:hAnsi="Calibri"/>
          <w:b/>
          <w:bCs/>
          <w:color w:val="1B3A5C"/>
          <w:sz w:val="28"/>
          <w:szCs w:val="28"/>
        </w:rPr>
        <w:t xml:space="preserve">3. 15-Minute Crisis Checklist</w:t>
      </w:r>
    </w:p>
    <w:p>
      <w:pPr>
        <w:spacing w:after="120" w:line="300"/>
      </w:pPr>
      <w:r>
        <w:rPr>
          <w:rFonts w:ascii="Calibri" w:cs="Calibri" w:eastAsia="Calibri" w:hAnsi="Calibri"/>
          <w:color w:val="333333"/>
          <w:sz w:val="21"/>
          <w:szCs w:val="21"/>
        </w:rPr>
        <w:t xml:space="preserve">Within the first 15 minutes of notification:</w:t>
      </w:r>
    </w:p>
    <w:p>
      <w:pPr>
        <w:pStyle w:val="ListParagraph"/>
        <w:numPr>
          <w:ilvl w:val="0"/>
          <w:numId w:val="1"/>
        </w:numPr>
        <w:spacing w:after="60" w:line="280"/>
      </w:pPr>
      <w:r>
        <w:rPr>
          <w:rFonts w:ascii="Calibri" w:cs="Calibri" w:eastAsia="Calibri" w:hAnsi="Calibri"/>
          <w:color w:val="333333"/>
          <w:sz w:val="21"/>
          <w:szCs w:val="21"/>
        </w:rPr>
        <w:t xml:space="preserve">Confirm the nature and extent of the disruption</w:t>
      </w:r>
    </w:p>
    <w:p>
      <w:pPr>
        <w:pStyle w:val="ListParagraph"/>
        <w:numPr>
          <w:ilvl w:val="0"/>
          <w:numId w:val="1"/>
        </w:numPr>
        <w:spacing w:after="60" w:line="280"/>
      </w:pPr>
      <w:r>
        <w:rPr>
          <w:rFonts w:ascii="Calibri" w:cs="Calibri" w:eastAsia="Calibri" w:hAnsi="Calibri"/>
          <w:color w:val="333333"/>
          <w:sz w:val="21"/>
          <w:szCs w:val="21"/>
        </w:rPr>
        <w:t xml:space="preserve">Assess immediate safety risks — prioritise life safety</w:t>
      </w:r>
    </w:p>
    <w:p>
      <w:pPr>
        <w:pStyle w:val="ListParagraph"/>
        <w:numPr>
          <w:ilvl w:val="0"/>
          <w:numId w:val="1"/>
        </w:numPr>
        <w:spacing w:after="60" w:line="280"/>
      </w:pPr>
      <w:r>
        <w:rPr>
          <w:rFonts w:ascii="Calibri" w:cs="Calibri" w:eastAsia="Calibri" w:hAnsi="Calibri"/>
          <w:color w:val="333333"/>
          <w:sz w:val="21"/>
          <w:szCs w:val="21"/>
        </w:rPr>
        <w:t xml:space="preserve">Notify the Crisis Management Team Lead</w:t>
      </w:r>
    </w:p>
    <w:p>
      <w:pPr>
        <w:pStyle w:val="ListParagraph"/>
        <w:numPr>
          <w:ilvl w:val="0"/>
          <w:numId w:val="1"/>
        </w:numPr>
        <w:spacing w:after="60" w:line="280"/>
      </w:pPr>
      <w:r>
        <w:rPr>
          <w:rFonts w:ascii="Calibri" w:cs="Calibri" w:eastAsia="Calibri" w:hAnsi="Calibri"/>
          <w:color w:val="333333"/>
          <w:sz w:val="21"/>
          <w:szCs w:val="21"/>
        </w:rPr>
        <w:t xml:space="preserve">Convene initial crisis call (phone/virtual)</w:t>
      </w:r>
    </w:p>
    <w:p>
      <w:pPr>
        <w:pStyle w:val="ListParagraph"/>
        <w:numPr>
          <w:ilvl w:val="0"/>
          <w:numId w:val="1"/>
        </w:numPr>
        <w:spacing w:after="60" w:line="280"/>
      </w:pPr>
      <w:r>
        <w:rPr>
          <w:rFonts w:ascii="Calibri" w:cs="Calibri" w:eastAsia="Calibri" w:hAnsi="Calibri"/>
          <w:color w:val="333333"/>
          <w:sz w:val="21"/>
          <w:szCs w:val="21"/>
        </w:rPr>
        <w:t xml:space="preserve">Determine which critical functions are/will be affected</w:t>
      </w:r>
    </w:p>
    <w:p>
      <w:pPr>
        <w:pStyle w:val="ListParagraph"/>
        <w:numPr>
          <w:ilvl w:val="0"/>
          <w:numId w:val="1"/>
        </w:numPr>
        <w:spacing w:after="60" w:line="280"/>
      </w:pPr>
      <w:r>
        <w:rPr>
          <w:rFonts w:ascii="Calibri" w:cs="Calibri" w:eastAsia="Calibri" w:hAnsi="Calibri"/>
          <w:color w:val="333333"/>
          <w:sz w:val="21"/>
          <w:szCs w:val="21"/>
        </w:rPr>
        <w:t xml:space="preserve">Decide: activate BCP or manage through normal incident response</w:t>
      </w:r>
    </w:p>
    <w:p>
      <w:pPr>
        <w:pStyle w:val="ListParagraph"/>
        <w:numPr>
          <w:ilvl w:val="0"/>
          <w:numId w:val="1"/>
        </w:numPr>
        <w:spacing w:after="60" w:line="280"/>
      </w:pPr>
      <w:r>
        <w:rPr>
          <w:rFonts w:ascii="Calibri" w:cs="Calibri" w:eastAsia="Calibri" w:hAnsi="Calibri"/>
          <w:color w:val="333333"/>
          <w:sz w:val="21"/>
          <w:szCs w:val="21"/>
        </w:rPr>
        <w:t xml:space="preserve">If activating: identify which BCP(s) apply</w:t>
      </w:r>
    </w:p>
    <w:p>
      <w:pPr>
        <w:pStyle w:val="ListParagraph"/>
        <w:numPr>
          <w:ilvl w:val="0"/>
          <w:numId w:val="1"/>
        </w:numPr>
        <w:spacing w:after="60" w:line="280"/>
      </w:pPr>
      <w:r>
        <w:rPr>
          <w:rFonts w:ascii="Calibri" w:cs="Calibri" w:eastAsia="Calibri" w:hAnsi="Calibri"/>
          <w:color w:val="333333"/>
          <w:sz w:val="21"/>
          <w:szCs w:val="21"/>
        </w:rPr>
        <w:t xml:space="preserve">Notify all Crisis Team members of activation</w:t>
      </w:r>
    </w:p>
    <w:p>
      <w:pPr>
        <w:pStyle w:val="ListParagraph"/>
        <w:numPr>
          <w:ilvl w:val="0"/>
          <w:numId w:val="1"/>
        </w:numPr>
        <w:spacing w:after="60" w:line="280"/>
      </w:pPr>
      <w:r>
        <w:rPr>
          <w:rFonts w:ascii="Calibri" w:cs="Calibri" w:eastAsia="Calibri" w:hAnsi="Calibri"/>
          <w:color w:val="333333"/>
          <w:sz w:val="21"/>
          <w:szCs w:val="21"/>
        </w:rPr>
        <w:t xml:space="preserve">Establish command centre (physical or virtual)</w:t>
      </w:r>
    </w:p>
    <w:p>
      <w:pPr>
        <w:pStyle w:val="ListParagraph"/>
        <w:numPr>
          <w:ilvl w:val="0"/>
          <w:numId w:val="1"/>
        </w:numPr>
        <w:spacing w:after="60" w:line="280"/>
      </w:pPr>
      <w:r>
        <w:rPr>
          <w:rFonts w:ascii="Calibri" w:cs="Calibri" w:eastAsia="Calibri" w:hAnsi="Calibri"/>
          <w:color w:val="333333"/>
          <w:sz w:val="21"/>
          <w:szCs w:val="21"/>
        </w:rPr>
        <w:t xml:space="preserve">Begin communication cascade to affected staff</w:t>
      </w:r>
    </w:p>
    <w:p>
      <w:pPr>
        <w:pStyle w:val="Heading1"/>
        <w:pBdr>
          <w:bottom w:val="single" w:color="E8EFF7" w:sz="1"/>
        </w:pBdr>
        <w:spacing w:before="400" w:after="100"/>
      </w:pPr>
      <w:r>
        <w:rPr>
          <w:rFonts w:ascii="Calibri" w:cs="Calibri" w:eastAsia="Calibri" w:hAnsi="Calibri"/>
          <w:b/>
          <w:bCs/>
          <w:color w:val="1B3A5C"/>
          <w:sz w:val="28"/>
          <w:szCs w:val="28"/>
        </w:rPr>
        <w:t xml:space="preserve">4. Notification of Crisis Team</w:t>
      </w:r>
    </w:p>
    <w:p>
      <w:pPr>
        <w:spacing w:after="120" w:line="300"/>
      </w:pPr>
      <w:r>
        <w:rPr>
          <w:rFonts w:ascii="Calibri" w:cs="Calibri" w:eastAsia="Calibri" w:hAnsi="Calibri"/>
          <w:color w:val="333333"/>
          <w:sz w:val="21"/>
          <w:szCs w:val="21"/>
        </w:rPr>
        <w:t xml:space="preserve">The Crisis Team Lead shall be notified immediately by phone. If unreachable within 10 minutes, the Deputy shall be contacted. Crisis Team contact details are maintained in each BCP document and in the Nexara IMS emergency module.</w:t>
      </w:r>
    </w:p>
    <w:p>
      <w:pPr>
        <w:pStyle w:val="Heading1"/>
        <w:pBdr>
          <w:bottom w:val="single" w:color="E8EFF7" w:sz="1"/>
        </w:pBdr>
        <w:spacing w:before="400" w:after="100"/>
      </w:pPr>
      <w:r>
        <w:rPr>
          <w:rFonts w:ascii="Calibri" w:cs="Calibri" w:eastAsia="Calibri" w:hAnsi="Calibri"/>
          <w:b/>
          <w:bCs/>
          <w:color w:val="1B3A5C"/>
          <w:sz w:val="28"/>
          <w:szCs w:val="28"/>
        </w:rPr>
        <w:t xml:space="preserve">5. Initial Assessment</w:t>
      </w:r>
    </w:p>
    <w:p>
      <w:pPr>
        <w:spacing w:after="120" w:line="300"/>
      </w:pPr>
      <w:r>
        <w:rPr>
          <w:rFonts w:ascii="Calibri" w:cs="Calibri" w:eastAsia="Calibri" w:hAnsi="Calibri"/>
          <w:color w:val="333333"/>
          <w:sz w:val="21"/>
          <w:szCs w:val="21"/>
        </w:rPr>
        <w:t xml:space="preserve">The Crisis Team shall assess: which critical functions are impacted, estimated time to restore normal operations, whether RTOs are at risk of being breached, what resources are needed, whether alternative sites/systems need to be activated.</w:t>
      </w:r>
    </w:p>
    <w:p>
      <w:pPr>
        <w:pStyle w:val="Heading1"/>
        <w:pBdr>
          <w:bottom w:val="single" w:color="E8EFF7" w:sz="1"/>
        </w:pBdr>
        <w:spacing w:before="400" w:after="100"/>
      </w:pPr>
      <w:r>
        <w:rPr>
          <w:rFonts w:ascii="Calibri" w:cs="Calibri" w:eastAsia="Calibri" w:hAnsi="Calibri"/>
          <w:b/>
          <w:bCs/>
          <w:color w:val="1B3A5C"/>
          <w:sz w:val="28"/>
          <w:szCs w:val="28"/>
        </w:rPr>
        <w:t xml:space="preserve">6. BCP Activation Decision</w:t>
      </w:r>
    </w:p>
    <w:p>
      <w:pPr>
        <w:spacing w:after="120" w:line="300"/>
      </w:pPr>
      <w:r>
        <w:rPr>
          <w:rFonts w:ascii="Calibri" w:cs="Calibri" w:eastAsia="Calibri" w:hAnsi="Calibri"/>
          <w:color w:val="333333"/>
          <w:sz w:val="21"/>
          <w:szCs w:val="21"/>
        </w:rPr>
        <w:t xml:space="preserve">The Crisis Team Lead (or Deputy) makes the activation decision and formally records it. The activation shall specify: which BCP(s) are activated, which functions are in scope, the command structure, the initial recovery priorities.</w:t>
      </w:r>
    </w:p>
    <w:p>
      <w:pPr>
        <w:pStyle w:val="Heading1"/>
        <w:pBdr>
          <w:bottom w:val="single" w:color="E8EFF7" w:sz="1"/>
        </w:pBdr>
        <w:spacing w:before="400" w:after="100"/>
      </w:pPr>
      <w:r>
        <w:rPr>
          <w:rFonts w:ascii="Calibri" w:cs="Calibri" w:eastAsia="Calibri" w:hAnsi="Calibri"/>
          <w:b/>
          <w:bCs/>
          <w:color w:val="1B3A5C"/>
          <w:sz w:val="28"/>
          <w:szCs w:val="28"/>
        </w:rPr>
        <w:t xml:space="preserve">7. Recovery Actions by Function</w:t>
      </w:r>
    </w:p>
    <w:p>
      <w:pPr>
        <w:spacing w:after="120" w:line="300"/>
      </w:pPr>
      <w:r>
        <w:rPr>
          <w:rFonts w:ascii="Calibri" w:cs="Calibri" w:eastAsia="Calibri" w:hAnsi="Calibri"/>
          <w:color w:val="333333"/>
          <w:sz w:val="21"/>
          <w:szCs w:val="21"/>
        </w:rPr>
        <w:t xml:space="preserve">Each critical function's recovery follows the strategies documented in the relevant BCP. The Planning Section Chief tracks recovery progress against RTOs. Any function at risk of breaching its RTO shall be escalated immediately to the Crisis Team Lead.</w:t>
      </w:r>
    </w:p>
    <w:p>
      <w:pPr>
        <w:pStyle w:val="Heading1"/>
        <w:pBdr>
          <w:bottom w:val="single" w:color="E8EFF7" w:sz="1"/>
        </w:pBdr>
        <w:spacing w:before="400" w:after="100"/>
      </w:pPr>
      <w:r>
        <w:rPr>
          <w:rFonts w:ascii="Calibri" w:cs="Calibri" w:eastAsia="Calibri" w:hAnsi="Calibri"/>
          <w:b/>
          <w:bCs/>
          <w:color w:val="1B3A5C"/>
          <w:sz w:val="28"/>
          <w:szCs w:val="28"/>
        </w:rPr>
        <w:t xml:space="preserve">8. Communication Cascade</w:t>
      </w:r>
    </w:p>
    <w:p>
      <w:pPr>
        <w:spacing w:after="120" w:line="300"/>
      </w:pPr>
      <w:r>
        <w:rPr>
          <w:rFonts w:ascii="Calibri" w:cs="Calibri" w:eastAsia="Calibri" w:hAnsi="Calibri"/>
          <w:color w:val="333333"/>
          <w:sz w:val="21"/>
          <w:szCs w:val="21"/>
        </w:rPr>
        <w:t xml:space="preserve">Upon activation: Staff — via SMS cascade and email. Customers — via pre-drafted notification template. Suppliers — via key contact notification. Regulators — as required by regulation. Media — through Public Information Officer only.</w:t>
      </w:r>
    </w:p>
    <w:p>
      <w:pPr>
        <w:pStyle w:val="Heading1"/>
        <w:pBdr>
          <w:bottom w:val="single" w:color="E8EFF7" w:sz="1"/>
        </w:pBdr>
        <w:spacing w:before="400" w:after="100"/>
      </w:pPr>
      <w:r>
        <w:rPr>
          <w:rFonts w:ascii="Calibri" w:cs="Calibri" w:eastAsia="Calibri" w:hAnsi="Calibri"/>
          <w:b/>
          <w:bCs/>
          <w:color w:val="1B3A5C"/>
          <w:sz w:val="28"/>
          <w:szCs w:val="28"/>
        </w:rPr>
        <w:t xml:space="preserve">9. Deactivation Criteria</w:t>
      </w:r>
    </w:p>
    <w:p>
      <w:pPr>
        <w:spacing w:after="120" w:line="300"/>
      </w:pPr>
      <w:r>
        <w:rPr>
          <w:rFonts w:ascii="Calibri" w:cs="Calibri" w:eastAsia="Calibri" w:hAnsi="Calibri"/>
          <w:color w:val="333333"/>
          <w:sz w:val="21"/>
          <w:szCs w:val="21"/>
        </w:rPr>
        <w:t xml:space="preserve">The BCP may be deactivated when: all critical functions have been restored to acceptable levels, normal operations can resume, no further disruption is expected, all regulatory notifications have been made.</w:t>
      </w:r>
    </w:p>
    <w:p>
      <w:pPr>
        <w:pStyle w:val="Heading1"/>
        <w:pBdr>
          <w:bottom w:val="single" w:color="E8EFF7" w:sz="1"/>
        </w:pBdr>
        <w:spacing w:before="400" w:after="100"/>
      </w:pPr>
      <w:r>
        <w:rPr>
          <w:rFonts w:ascii="Calibri" w:cs="Calibri" w:eastAsia="Calibri" w:hAnsi="Calibri"/>
          <w:b/>
          <w:bCs/>
          <w:color w:val="1B3A5C"/>
          <w:sz w:val="28"/>
          <w:szCs w:val="28"/>
        </w:rPr>
        <w:t xml:space="preserve">10. Stand-Down Process</w:t>
      </w:r>
    </w:p>
    <w:p>
      <w:pPr>
        <w:spacing w:after="120" w:line="300"/>
      </w:pPr>
      <w:r>
        <w:rPr>
          <w:rFonts w:ascii="Calibri" w:cs="Calibri" w:eastAsia="Calibri" w:hAnsi="Calibri"/>
          <w:color w:val="333333"/>
          <w:sz w:val="21"/>
          <w:szCs w:val="21"/>
        </w:rPr>
        <w:t xml:space="preserve">Upon deactivation: notify all Crisis Team members, notify all staff of return to normal operations, schedule post-event review within 14 days, update BCP based on lessons learned, file all activation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Role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Name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Signature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Prepared by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Approved by</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[Managing Director]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r>
    </w:tbl>
    <w:p>
      <w:pPr>
        <w:spacing w:after="200"/>
      </w:pP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FEM-PRO-005  |  v1.0  |  ISO 22301:2019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2026-02-16T20:41:22.374Z</dcterms:created>
  <dcterms:modified xsi:type="dcterms:W3CDTF">2026-02-16T20:41:22.374Z</dcterms:modified>
</cp:coreProperties>
</file>

<file path=docProps/custom.xml><?xml version="1.0" encoding="utf-8"?>
<Properties xmlns="http://schemas.openxmlformats.org/officeDocument/2006/custom-properties" xmlns:vt="http://schemas.openxmlformats.org/officeDocument/2006/docPropsVTypes"/>
</file>