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Nexara IMS Compliance Requirements Audit Report</w:t>
      </w:r>
    </w:p>
    <w:p>
      <w:pPr>
        <w:spacing w:after="800"/>
        <w:jc w:val="center"/>
      </w:pPr>
      <w:r>
        <w:rPr>
          <w:rFonts w:ascii="Calibri" w:cs="Calibri" w:eastAsia="Calibri" w:hAnsi="Calibri"/>
          <w:color w:val="666666"/>
          <w:sz w:val="24"/>
          <w:szCs w:val="24"/>
        </w:rPr>
        <w:t xml:space="preserve">Multi-Standard IMS Audit</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RPT-AUDIT-001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[Compliance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Executive Summary</w:t>
      </w:r>
    </w:p>
    <w:p>
      <w:pPr>
        <w:spacing w:after="120" w:line="300"/>
      </w:pPr>
      <w:r>
        <w:rPr>
          <w:rFonts w:ascii="Calibri" w:cs="Calibri" w:eastAsia="Calibri" w:hAnsi="Calibri"/>
          <w:color w:val="333333"/>
          <w:sz w:val="21"/>
          <w:szCs w:val="21"/>
        </w:rPr>
        <w:t xml:space="preserve">This report presents the findings of a comprehensive compliance requirements audit of the Nexara Integrated Management System (IMS). The audit assessed the platform's coverage of 10 ISO management system standards, GDPR, and ESG/CSRD reporting frameworks.</w:t>
      </w:r>
    </w:p>
    <w:p>
      <w:pPr>
        <w:spacing w:after="120" w:line="300"/>
      </w:pPr>
      <w:r>
        <w:rPr>
          <w:rFonts w:ascii="Calibri" w:cs="Calibri" w:eastAsia="Calibri" w:hAnsi="Calibri"/>
          <w:color w:val="333333"/>
          <w:sz w:val="21"/>
          <w:szCs w:val="21"/>
        </w:rPr>
        <w:t xml:space="preserve">The Nexara IMS demonstrates extensive compliance capability across all assessed standards. The platform includes 39 API services, 43 web applications, 636 database tables across 41 Prisma schemas, and a library of 73 professional compliance document templates.</w:t>
      </w:r>
    </w:p>
    <w:p>
      <w:pPr>
        <w:spacing w:after="120" w:line="300"/>
      </w:pPr>
      <w:r>
        <w:rPr>
          <w:rFonts w:ascii="Calibri" w:cs="Calibri" w:eastAsia="Calibri" w:hAnsi="Calibri"/>
          <w:color w:val="333333"/>
          <w:sz w:val="21"/>
          <w:szCs w:val="21"/>
        </w:rPr>
        <w:t xml:space="preserve">Overall compliance readiness: HIGH — the platform provides comprehensive tooling for organisations seeking certification to multiple standards simultaneously.</w:t>
      </w:r>
    </w:p>
    <w:p>
      <w:pPr>
        <w:pStyle w:val="Heading1"/>
        <w:pBdr>
          <w:bottom w:val="single" w:color="E8EFF7" w:sz="1"/>
        </w:pBdr>
        <w:spacing w:before="400" w:after="100"/>
      </w:pPr>
      <w:r>
        <w:rPr>
          <w:rFonts w:ascii="Calibri" w:cs="Calibri" w:eastAsia="Calibri" w:hAnsi="Calibri"/>
          <w:b/>
          <w:bCs/>
          <w:color w:val="1B3A5C"/>
          <w:sz w:val="28"/>
          <w:szCs w:val="28"/>
        </w:rPr>
        <w:t xml:space="preserve">2. Audit Scope</w:t>
      </w:r>
    </w:p>
    <w:p>
      <w:pPr>
        <w:spacing w:after="120" w:line="300"/>
      </w:pPr>
      <w:r>
        <w:rPr>
          <w:rFonts w:ascii="Calibri" w:cs="Calibri" w:eastAsia="Calibri" w:hAnsi="Calibri"/>
          <w:color w:val="333333"/>
          <w:sz w:val="21"/>
          <w:szCs w:val="21"/>
        </w:rPr>
        <w:t xml:space="preserve">Standards and frameworks assessed:</w:t>
      </w:r>
    </w:p>
    <w:p>
      <w:pPr>
        <w:pStyle w:val="ListParagraph"/>
        <w:numPr>
          <w:ilvl w:val="0"/>
          <w:numId w:val="1"/>
        </w:numPr>
        <w:spacing w:after="60" w:line="280"/>
      </w:pPr>
      <w:r>
        <w:rPr>
          <w:rFonts w:ascii="Calibri" w:cs="Calibri" w:eastAsia="Calibri" w:hAnsi="Calibri"/>
          <w:color w:val="333333"/>
          <w:sz w:val="21"/>
          <w:szCs w:val="21"/>
        </w:rPr>
        <w:t xml:space="preserve">ISO 9001:2015 — Quality Management Systems</w:t>
      </w:r>
    </w:p>
    <w:p>
      <w:pPr>
        <w:pStyle w:val="ListParagraph"/>
        <w:numPr>
          <w:ilvl w:val="0"/>
          <w:numId w:val="1"/>
        </w:numPr>
        <w:spacing w:after="60" w:line="280"/>
      </w:pPr>
      <w:r>
        <w:rPr>
          <w:rFonts w:ascii="Calibri" w:cs="Calibri" w:eastAsia="Calibri" w:hAnsi="Calibri"/>
          <w:color w:val="333333"/>
          <w:sz w:val="21"/>
          <w:szCs w:val="21"/>
        </w:rPr>
        <w:t xml:space="preserve">ISO 14001:2015 — Environmental Management Systems</w:t>
      </w:r>
    </w:p>
    <w:p>
      <w:pPr>
        <w:pStyle w:val="ListParagraph"/>
        <w:numPr>
          <w:ilvl w:val="0"/>
          <w:numId w:val="1"/>
        </w:numPr>
        <w:spacing w:after="60" w:line="280"/>
      </w:pPr>
      <w:r>
        <w:rPr>
          <w:rFonts w:ascii="Calibri" w:cs="Calibri" w:eastAsia="Calibri" w:hAnsi="Calibri"/>
          <w:color w:val="333333"/>
          <w:sz w:val="21"/>
          <w:szCs w:val="21"/>
        </w:rPr>
        <w:t xml:space="preserve">ISO 45001:2018 — Occupational Health &amp; Safety Management Systems</w:t>
      </w:r>
    </w:p>
    <w:p>
      <w:pPr>
        <w:pStyle w:val="ListParagraph"/>
        <w:numPr>
          <w:ilvl w:val="0"/>
          <w:numId w:val="1"/>
        </w:numPr>
        <w:spacing w:after="60" w:line="280"/>
      </w:pPr>
      <w:r>
        <w:rPr>
          <w:rFonts w:ascii="Calibri" w:cs="Calibri" w:eastAsia="Calibri" w:hAnsi="Calibri"/>
          <w:color w:val="333333"/>
          <w:sz w:val="21"/>
          <w:szCs w:val="21"/>
        </w:rPr>
        <w:t xml:space="preserve">ISO/IEC 27001:2022 — Information Security Management Systems</w:t>
      </w:r>
    </w:p>
    <w:p>
      <w:pPr>
        <w:pStyle w:val="ListParagraph"/>
        <w:numPr>
          <w:ilvl w:val="0"/>
          <w:numId w:val="1"/>
        </w:numPr>
        <w:spacing w:after="60" w:line="280"/>
      </w:pPr>
      <w:r>
        <w:rPr>
          <w:rFonts w:ascii="Calibri" w:cs="Calibri" w:eastAsia="Calibri" w:hAnsi="Calibri"/>
          <w:color w:val="333333"/>
          <w:sz w:val="21"/>
          <w:szCs w:val="21"/>
        </w:rPr>
        <w:t xml:space="preserve">ISO 22000:2018 — Food Safety Management Systems</w:t>
      </w:r>
    </w:p>
    <w:p>
      <w:pPr>
        <w:pStyle w:val="ListParagraph"/>
        <w:numPr>
          <w:ilvl w:val="0"/>
          <w:numId w:val="1"/>
        </w:numPr>
        <w:spacing w:after="60" w:line="280"/>
      </w:pPr>
      <w:r>
        <w:rPr>
          <w:rFonts w:ascii="Calibri" w:cs="Calibri" w:eastAsia="Calibri" w:hAnsi="Calibri"/>
          <w:color w:val="333333"/>
          <w:sz w:val="21"/>
          <w:szCs w:val="21"/>
        </w:rPr>
        <w:t xml:space="preserve">ISO 50001:2018 — Energy Management Systems</w:t>
      </w:r>
    </w:p>
    <w:p>
      <w:pPr>
        <w:pStyle w:val="ListParagraph"/>
        <w:numPr>
          <w:ilvl w:val="0"/>
          <w:numId w:val="1"/>
        </w:numPr>
        <w:spacing w:after="60" w:line="280"/>
      </w:pPr>
      <w:r>
        <w:rPr>
          <w:rFonts w:ascii="Calibri" w:cs="Calibri" w:eastAsia="Calibri" w:hAnsi="Calibri"/>
          <w:color w:val="333333"/>
          <w:sz w:val="21"/>
          <w:szCs w:val="21"/>
        </w:rPr>
        <w:t xml:space="preserve">ISO 37001:2016 — Anti-Bribery Management Systems</w:t>
      </w:r>
    </w:p>
    <w:p>
      <w:pPr>
        <w:pStyle w:val="ListParagraph"/>
        <w:numPr>
          <w:ilvl w:val="0"/>
          <w:numId w:val="1"/>
        </w:numPr>
        <w:spacing w:after="60" w:line="280"/>
      </w:pPr>
      <w:r>
        <w:rPr>
          <w:rFonts w:ascii="Calibri" w:cs="Calibri" w:eastAsia="Calibri" w:hAnsi="Calibri"/>
          <w:color w:val="333333"/>
          <w:sz w:val="21"/>
          <w:szCs w:val="21"/>
        </w:rPr>
        <w:t xml:space="preserve">ISO/IEC 42001:2023 — AI Management Systems</w:t>
      </w:r>
    </w:p>
    <w:p>
      <w:pPr>
        <w:pStyle w:val="ListParagraph"/>
        <w:numPr>
          <w:ilvl w:val="0"/>
          <w:numId w:val="1"/>
        </w:numPr>
        <w:spacing w:after="60" w:line="280"/>
      </w:pPr>
      <w:r>
        <w:rPr>
          <w:rFonts w:ascii="Calibri" w:cs="Calibri" w:eastAsia="Calibri" w:hAnsi="Calibri"/>
          <w:color w:val="333333"/>
          <w:sz w:val="21"/>
          <w:szCs w:val="21"/>
        </w:rPr>
        <w:t xml:space="preserve">GDPR / UK GDPR / Data Protection Act 2018</w:t>
      </w:r>
    </w:p>
    <w:p>
      <w:pPr>
        <w:pStyle w:val="ListParagraph"/>
        <w:numPr>
          <w:ilvl w:val="0"/>
          <w:numId w:val="1"/>
        </w:numPr>
        <w:spacing w:after="60" w:line="280"/>
      </w:pPr>
      <w:r>
        <w:rPr>
          <w:rFonts w:ascii="Calibri" w:cs="Calibri" w:eastAsia="Calibri" w:hAnsi="Calibri"/>
          <w:color w:val="333333"/>
          <w:sz w:val="21"/>
          <w:szCs w:val="21"/>
        </w:rPr>
        <w:t xml:space="preserve">CSRD / ESRS / GRI — ESG Sustainability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Component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Count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API Services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39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Express.js microservices (ports 4000-4038)</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Web Applications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43</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Next.js 15 frontends (ports 3000-3043)</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Shared Packages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42</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Reusable libraries (@ims/*)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Database Tables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636</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PostgreSQL via 41 Prisma schemas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Unit Tests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8,169+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Jest test suites across all services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Compliance Templates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73</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Professional DOCX documents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RBAC Roles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39</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Role-based access control across 17 modules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4. Standards Coverage Assessment</w:t>
      </w:r>
    </w:p>
    <w:p>
      <w:pPr>
        <w:pStyle w:val="Heading2"/>
        <w:spacing w:before="200" w:after="100"/>
      </w:pPr>
      <w:r>
        <w:rPr>
          <w:rFonts w:ascii="Calibri" w:cs="Calibri" w:eastAsia="Calibri" w:hAnsi="Calibri"/>
          <w:b/>
          <w:bCs/>
          <w:color w:val="1B3A5C"/>
          <w:sz w:val="24"/>
          <w:szCs w:val="24"/>
        </w:rPr>
        <w:t xml:space="preserve">4.1 ISO 9001:2015 — Quality Management</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The Nexara IMS provides full ISO 9001 support through:</w:t>
      </w:r>
    </w:p>
    <w:p>
      <w:pPr>
        <w:pStyle w:val="ListParagraph"/>
        <w:numPr>
          <w:ilvl w:val="0"/>
          <w:numId w:val="1"/>
        </w:numPr>
        <w:spacing w:after="60" w:line="280"/>
      </w:pPr>
      <w:r>
        <w:rPr>
          <w:rFonts w:ascii="Calibri" w:cs="Calibri" w:eastAsia="Calibri" w:hAnsi="Calibri"/>
          <w:color w:val="333333"/>
          <w:sz w:val="21"/>
          <w:szCs w:val="21"/>
        </w:rPr>
        <w:t xml:space="preserve">api-quality (port 4003): NCRs, CAPAs, audits, evidence packs, headstart templates</w:t>
      </w:r>
    </w:p>
    <w:p>
      <w:pPr>
        <w:pStyle w:val="ListParagraph"/>
        <w:numPr>
          <w:ilvl w:val="0"/>
          <w:numId w:val="1"/>
        </w:numPr>
        <w:spacing w:after="60" w:line="280"/>
      </w:pPr>
      <w:r>
        <w:rPr>
          <w:rFonts w:ascii="Calibri" w:cs="Calibri" w:eastAsia="Calibri" w:hAnsi="Calibri"/>
          <w:color w:val="333333"/>
          <w:sz w:val="21"/>
          <w:szCs w:val="21"/>
        </w:rPr>
        <w:t xml:space="preserve">api-documents (port 4031): Document control, version management, approval workflows</w:t>
      </w:r>
    </w:p>
    <w:p>
      <w:pPr>
        <w:pStyle w:val="ListParagraph"/>
        <w:numPr>
          <w:ilvl w:val="0"/>
          <w:numId w:val="1"/>
        </w:numPr>
        <w:spacing w:after="60" w:line="280"/>
      </w:pPr>
      <w:r>
        <w:rPr>
          <w:rFonts w:ascii="Calibri" w:cs="Calibri" w:eastAsia="Calibri" w:hAnsi="Calibri"/>
          <w:color w:val="333333"/>
          <w:sz w:val="21"/>
          <w:szCs w:val="21"/>
        </w:rPr>
        <w:t xml:space="preserve">api-suppliers (port 4029): Supplier evaluation, approved supplier list, performance monitoring</w:t>
      </w:r>
    </w:p>
    <w:p>
      <w:pPr>
        <w:pStyle w:val="ListParagraph"/>
        <w:numPr>
          <w:ilvl w:val="0"/>
          <w:numId w:val="1"/>
        </w:numPr>
        <w:spacing w:after="60" w:line="280"/>
      </w:pPr>
      <w:r>
        <w:rPr>
          <w:rFonts w:ascii="Calibri" w:cs="Calibri" w:eastAsia="Calibri" w:hAnsi="Calibri"/>
          <w:color w:val="333333"/>
          <w:sz w:val="21"/>
          <w:szCs w:val="21"/>
        </w:rPr>
        <w:t xml:space="preserve">api-complaints (port 4032): Customer complaint handling, root cause analysis</w:t>
      </w:r>
    </w:p>
    <w:p>
      <w:pPr>
        <w:pStyle w:val="ListParagraph"/>
        <w:numPr>
          <w:ilvl w:val="0"/>
          <w:numId w:val="1"/>
        </w:numPr>
        <w:spacing w:after="60" w:line="280"/>
      </w:pPr>
      <w:r>
        <w:rPr>
          <w:rFonts w:ascii="Calibri" w:cs="Calibri" w:eastAsia="Calibri" w:hAnsi="Calibri"/>
          <w:color w:val="333333"/>
          <w:sz w:val="21"/>
          <w:szCs w:val="21"/>
        </w:rPr>
        <w:t xml:space="preserve">api-audits (port 4037): Internal audit programme, findings, corrective actions</w:t>
      </w:r>
    </w:p>
    <w:p>
      <w:pPr>
        <w:pStyle w:val="ListParagraph"/>
        <w:numPr>
          <w:ilvl w:val="0"/>
          <w:numId w:val="1"/>
        </w:numPr>
        <w:spacing w:after="60" w:line="280"/>
      </w:pPr>
      <w:r>
        <w:rPr>
          <w:rFonts w:ascii="Calibri" w:cs="Calibri" w:eastAsia="Calibri" w:hAnsi="Calibri"/>
          <w:color w:val="333333"/>
          <w:sz w:val="21"/>
          <w:szCs w:val="21"/>
        </w:rPr>
        <w:t xml:space="preserve">api-mgmt-review (port 4038): Management review agenda, minutes, action tracking</w:t>
      </w:r>
    </w:p>
    <w:p>
      <w:pPr>
        <w:pStyle w:val="ListParagraph"/>
        <w:numPr>
          <w:ilvl w:val="0"/>
          <w:numId w:val="1"/>
        </w:numPr>
        <w:spacing w:after="60" w:line="280"/>
      </w:pPr>
      <w:r>
        <w:rPr>
          <w:rFonts w:ascii="Calibri" w:cs="Calibri" w:eastAsia="Calibri" w:hAnsi="Calibri"/>
          <w:color w:val="333333"/>
          <w:sz w:val="21"/>
          <w:szCs w:val="21"/>
        </w:rPr>
        <w:t xml:space="preserve">api-training (port 4028): Competence management, training records, skills matrix</w:t>
      </w:r>
    </w:p>
    <w:p>
      <w:pPr>
        <w:pStyle w:val="ListParagraph"/>
        <w:numPr>
          <w:ilvl w:val="0"/>
          <w:numId w:val="1"/>
        </w:numPr>
        <w:spacing w:after="60" w:line="280"/>
      </w:pPr>
      <w:r>
        <w:rPr>
          <w:rFonts w:ascii="Calibri" w:cs="Calibri" w:eastAsia="Calibri" w:hAnsi="Calibri"/>
          <w:color w:val="333333"/>
          <w:sz w:val="21"/>
          <w:szCs w:val="21"/>
        </w:rPr>
        <w:t xml:space="preserve">Templates: POL-001, PRO-001-004, PRO-008-010, PRO-013, FRM-001, FRM-004-005, FRM-007-009, REG-001-006, PLN-001, RPT-001-002, RPT-004, AUD-001</w:t>
      </w:r>
    </w:p>
    <w:p>
      <w:pPr>
        <w:pStyle w:val="Heading2"/>
        <w:spacing w:before="200" w:after="100"/>
      </w:pPr>
      <w:r>
        <w:rPr>
          <w:rFonts w:ascii="Calibri" w:cs="Calibri" w:eastAsia="Calibri" w:hAnsi="Calibri"/>
          <w:b/>
          <w:bCs/>
          <w:color w:val="1B3A5C"/>
          <w:sz w:val="24"/>
          <w:szCs w:val="24"/>
        </w:rPr>
        <w:t xml:space="preserve">4.2 ISO 14001:2015 — Environmental Management</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environmental management module:</w:t>
      </w:r>
    </w:p>
    <w:p>
      <w:pPr>
        <w:pStyle w:val="ListParagraph"/>
        <w:numPr>
          <w:ilvl w:val="0"/>
          <w:numId w:val="1"/>
        </w:numPr>
        <w:spacing w:after="60" w:line="280"/>
      </w:pPr>
      <w:r>
        <w:rPr>
          <w:rFonts w:ascii="Calibri" w:cs="Calibri" w:eastAsia="Calibri" w:hAnsi="Calibri"/>
          <w:color w:val="333333"/>
          <w:sz w:val="21"/>
          <w:szCs w:val="21"/>
        </w:rPr>
        <w:t xml:space="preserve">api-environment (port 4002): Aspects/impacts register, legal register, objectives, CAPAs, events</w:t>
      </w:r>
    </w:p>
    <w:p>
      <w:pPr>
        <w:pStyle w:val="ListParagraph"/>
        <w:numPr>
          <w:ilvl w:val="0"/>
          <w:numId w:val="1"/>
        </w:numPr>
        <w:spacing w:after="60" w:line="280"/>
      </w:pPr>
      <w:r>
        <w:rPr>
          <w:rFonts w:ascii="Calibri" w:cs="Calibri" w:eastAsia="Calibri" w:hAnsi="Calibri"/>
          <w:color w:val="333333"/>
          <w:sz w:val="21"/>
          <w:szCs w:val="21"/>
        </w:rPr>
        <w:t xml:space="preserve">Significance scoring algorithm: severity×1.5 + probability×1.5 + duration + extent + reversibility + regulatory + stakeholder (≥15 = significant)</w:t>
      </w:r>
    </w:p>
    <w:p>
      <w:pPr>
        <w:pStyle w:val="ListParagraph"/>
        <w:numPr>
          <w:ilvl w:val="0"/>
          <w:numId w:val="1"/>
        </w:numPr>
        <w:spacing w:after="60" w:line="280"/>
      </w:pPr>
      <w:r>
        <w:rPr>
          <w:rFonts w:ascii="Calibri" w:cs="Calibri" w:eastAsia="Calibri" w:hAnsi="Calibri"/>
          <w:color w:val="333333"/>
          <w:sz w:val="21"/>
          <w:szCs w:val="21"/>
        </w:rPr>
        <w:t xml:space="preserve">8 Prisma models: EnvAspect, EnvEvent, EnvLegal, EnvObjective, EnvMilestone, EnvAction, EnvCapa, EnvCapaAction</w:t>
      </w:r>
    </w:p>
    <w:p>
      <w:pPr>
        <w:pStyle w:val="ListParagraph"/>
        <w:numPr>
          <w:ilvl w:val="0"/>
          <w:numId w:val="1"/>
        </w:numPr>
        <w:spacing w:after="60" w:line="280"/>
      </w:pPr>
      <w:r>
        <w:rPr>
          <w:rFonts w:ascii="Calibri" w:cs="Calibri" w:eastAsia="Calibri" w:hAnsi="Calibri"/>
          <w:color w:val="333333"/>
          <w:sz w:val="21"/>
          <w:szCs w:val="21"/>
        </w:rPr>
        <w:t xml:space="preserve">Templates: POL-002, PRO-006, FRM-010-011, AUD-002</w:t>
      </w:r>
    </w:p>
    <w:p>
      <w:pPr>
        <w:pStyle w:val="Heading2"/>
        <w:spacing w:before="200" w:after="100"/>
      </w:pPr>
      <w:r>
        <w:rPr>
          <w:rFonts w:ascii="Calibri" w:cs="Calibri" w:eastAsia="Calibri" w:hAnsi="Calibri"/>
          <w:b/>
          <w:bCs/>
          <w:color w:val="1B3A5C"/>
          <w:sz w:val="24"/>
          <w:szCs w:val="24"/>
        </w:rPr>
        <w:t xml:space="preserve">4.3 ISO 45001:2018 — OH&amp;S Management</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The most extensively supported standard:</w:t>
      </w:r>
    </w:p>
    <w:p>
      <w:pPr>
        <w:pStyle w:val="ListParagraph"/>
        <w:numPr>
          <w:ilvl w:val="0"/>
          <w:numId w:val="1"/>
        </w:numPr>
        <w:spacing w:after="60" w:line="280"/>
      </w:pPr>
      <w:r>
        <w:rPr>
          <w:rFonts w:ascii="Calibri" w:cs="Calibri" w:eastAsia="Calibri" w:hAnsi="Calibri"/>
          <w:color w:val="333333"/>
          <w:sz w:val="21"/>
          <w:szCs w:val="21"/>
        </w:rPr>
        <w:t xml:space="preserve">api-health-safety (port 4001): Risk assessments, incidents, inspections, near-misses, legal register, objectives, training</w:t>
      </w:r>
    </w:p>
    <w:p>
      <w:pPr>
        <w:pStyle w:val="ListParagraph"/>
        <w:numPr>
          <w:ilvl w:val="0"/>
          <w:numId w:val="1"/>
        </w:numPr>
        <w:spacing w:after="60" w:line="280"/>
      </w:pPr>
      <w:r>
        <w:rPr>
          <w:rFonts w:ascii="Calibri" w:cs="Calibri" w:eastAsia="Calibri" w:hAnsi="Calibri"/>
          <w:color w:val="333333"/>
          <w:sz w:val="21"/>
          <w:szCs w:val="21"/>
        </w:rPr>
        <w:t xml:space="preserve">api-incidents (port 4036): Dedicated incident management with investigation workflows</w:t>
      </w:r>
    </w:p>
    <w:p>
      <w:pPr>
        <w:pStyle w:val="ListParagraph"/>
        <w:numPr>
          <w:ilvl w:val="0"/>
          <w:numId w:val="1"/>
        </w:numPr>
        <w:spacing w:after="60" w:line="280"/>
      </w:pPr>
      <w:r>
        <w:rPr>
          <w:rFonts w:ascii="Calibri" w:cs="Calibri" w:eastAsia="Calibri" w:hAnsi="Calibri"/>
          <w:color w:val="333333"/>
          <w:sz w:val="21"/>
          <w:szCs w:val="21"/>
        </w:rPr>
        <w:t xml:space="preserve">api-ptw (port 4034): Permit to work system for high-risk activities</w:t>
      </w:r>
    </w:p>
    <w:p>
      <w:pPr>
        <w:pStyle w:val="ListParagraph"/>
        <w:numPr>
          <w:ilvl w:val="0"/>
          <w:numId w:val="1"/>
        </w:numPr>
        <w:spacing w:after="60" w:line="280"/>
      </w:pPr>
      <w:r>
        <w:rPr>
          <w:rFonts w:ascii="Calibri" w:cs="Calibri" w:eastAsia="Calibri" w:hAnsi="Calibri"/>
          <w:color w:val="333333"/>
          <w:sz w:val="21"/>
          <w:szCs w:val="21"/>
        </w:rPr>
        <w:t xml:space="preserve">8 Safe Working Procedures (SWP-001 to SWP-008) covering all high-risk activities</w:t>
      </w:r>
    </w:p>
    <w:p>
      <w:pPr>
        <w:pStyle w:val="ListParagraph"/>
        <w:numPr>
          <w:ilvl w:val="0"/>
          <w:numId w:val="1"/>
        </w:numPr>
        <w:spacing w:after="60" w:line="280"/>
      </w:pPr>
      <w:r>
        <w:rPr>
          <w:rFonts w:ascii="Calibri" w:cs="Calibri" w:eastAsia="Calibri" w:hAnsi="Calibri"/>
          <w:color w:val="333333"/>
          <w:sz w:val="21"/>
          <w:szCs w:val="21"/>
        </w:rPr>
        <w:t xml:space="preserve">Templates: POL-003, PRO-005, PRO-007, PRO-011-012, SWP-001-008, FRM-002-003, FRM-006, FRM-011, REG-001, PLN-003, AUD-003</w:t>
      </w:r>
    </w:p>
    <w:p>
      <w:pPr>
        <w:pStyle w:val="Heading2"/>
        <w:spacing w:before="200" w:after="100"/>
      </w:pPr>
      <w:r>
        <w:rPr>
          <w:rFonts w:ascii="Calibri" w:cs="Calibri" w:eastAsia="Calibri" w:hAnsi="Calibri"/>
          <w:b/>
          <w:bCs/>
          <w:color w:val="1B3A5C"/>
          <w:sz w:val="24"/>
          <w:szCs w:val="24"/>
        </w:rPr>
        <w:t xml:space="preserve">4.4 ISO/IEC 27001:2022 — Information Security</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information security module:</w:t>
      </w:r>
    </w:p>
    <w:p>
      <w:pPr>
        <w:pStyle w:val="ListParagraph"/>
        <w:numPr>
          <w:ilvl w:val="0"/>
          <w:numId w:val="1"/>
        </w:numPr>
        <w:spacing w:after="60" w:line="280"/>
      </w:pPr>
      <w:r>
        <w:rPr>
          <w:rFonts w:ascii="Calibri" w:cs="Calibri" w:eastAsia="Calibri" w:hAnsi="Calibri"/>
          <w:color w:val="333333"/>
          <w:sz w:val="21"/>
          <w:szCs w:val="21"/>
        </w:rPr>
        <w:t xml:space="preserve">api-infosec (port 4015): Asset register, risk assessments, controls, incidents, vulnerabilities, access reviews</w:t>
      </w:r>
    </w:p>
    <w:p>
      <w:pPr>
        <w:pStyle w:val="ListParagraph"/>
        <w:numPr>
          <w:ilvl w:val="0"/>
          <w:numId w:val="1"/>
        </w:numPr>
        <w:spacing w:after="60" w:line="280"/>
      </w:pPr>
      <w:r>
        <w:rPr>
          <w:rFonts w:ascii="Calibri" w:cs="Calibri" w:eastAsia="Calibri" w:hAnsi="Calibri"/>
          <w:color w:val="333333"/>
          <w:sz w:val="21"/>
          <w:szCs w:val="21"/>
        </w:rPr>
        <w:t xml:space="preserve">RBAC system (@ims/rbac): 39 roles, 17 modules, 7 permission levels</w:t>
      </w:r>
    </w:p>
    <w:p>
      <w:pPr>
        <w:pStyle w:val="ListParagraph"/>
        <w:numPr>
          <w:ilvl w:val="0"/>
          <w:numId w:val="1"/>
        </w:numPr>
        <w:spacing w:after="60" w:line="280"/>
      </w:pPr>
      <w:r>
        <w:rPr>
          <w:rFonts w:ascii="Calibri" w:cs="Calibri" w:eastAsia="Calibri" w:hAnsi="Calibri"/>
          <w:color w:val="333333"/>
          <w:sz w:val="21"/>
          <w:szCs w:val="21"/>
        </w:rPr>
        <w:t xml:space="preserve">JWT authentication with role-based middleware on all services</w:t>
      </w:r>
    </w:p>
    <w:p>
      <w:pPr>
        <w:pStyle w:val="ListParagraph"/>
        <w:numPr>
          <w:ilvl w:val="0"/>
          <w:numId w:val="1"/>
        </w:numPr>
        <w:spacing w:after="60" w:line="280"/>
      </w:pPr>
      <w:r>
        <w:rPr>
          <w:rFonts w:ascii="Calibri" w:cs="Calibri" w:eastAsia="Calibri" w:hAnsi="Calibri"/>
          <w:color w:val="333333"/>
          <w:sz w:val="21"/>
          <w:szCs w:val="21"/>
        </w:rPr>
        <w:t xml:space="preserve">Templates: POL-004, PRO-014-015, PLN-002, RPT-005, AUD-004</w:t>
      </w:r>
    </w:p>
    <w:p>
      <w:pPr>
        <w:pStyle w:val="Heading2"/>
        <w:spacing w:before="200" w:after="100"/>
      </w:pPr>
      <w:r>
        <w:rPr>
          <w:rFonts w:ascii="Calibri" w:cs="Calibri" w:eastAsia="Calibri" w:hAnsi="Calibri"/>
          <w:b/>
          <w:bCs/>
          <w:color w:val="1B3A5C"/>
          <w:sz w:val="24"/>
          <w:szCs w:val="24"/>
        </w:rPr>
        <w:t xml:space="preserve">4.5 ISO 22000:2018 — Food Safety</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food safety module:</w:t>
      </w:r>
    </w:p>
    <w:p>
      <w:pPr>
        <w:pStyle w:val="ListParagraph"/>
        <w:numPr>
          <w:ilvl w:val="0"/>
          <w:numId w:val="1"/>
        </w:numPr>
        <w:spacing w:after="60" w:line="280"/>
      </w:pPr>
      <w:r>
        <w:rPr>
          <w:rFonts w:ascii="Calibri" w:cs="Calibri" w:eastAsia="Calibri" w:hAnsi="Calibri"/>
          <w:color w:val="333333"/>
          <w:sz w:val="21"/>
          <w:szCs w:val="21"/>
        </w:rPr>
        <w:t xml:space="preserve">api-food-safety (port 4019): HACCP plans, CCPs, PRPs, traceability, recalls, allergens, supplier food safety</w:t>
      </w:r>
    </w:p>
    <w:p>
      <w:pPr>
        <w:pStyle w:val="ListParagraph"/>
        <w:numPr>
          <w:ilvl w:val="0"/>
          <w:numId w:val="1"/>
        </w:numPr>
        <w:spacing w:after="60" w:line="280"/>
      </w:pPr>
      <w:r>
        <w:rPr>
          <w:rFonts w:ascii="Calibri" w:cs="Calibri" w:eastAsia="Calibri" w:hAnsi="Calibri"/>
          <w:color w:val="333333"/>
          <w:sz w:val="21"/>
          <w:szCs w:val="21"/>
        </w:rPr>
        <w:t xml:space="preserve">14 Prisma models in food-safety.prisma</w:t>
      </w:r>
    </w:p>
    <w:p>
      <w:pPr>
        <w:pStyle w:val="ListParagraph"/>
        <w:numPr>
          <w:ilvl w:val="0"/>
          <w:numId w:val="1"/>
        </w:numPr>
        <w:spacing w:after="60" w:line="280"/>
      </w:pPr>
      <w:r>
        <w:rPr>
          <w:rFonts w:ascii="Calibri" w:cs="Calibri" w:eastAsia="Calibri" w:hAnsi="Calibri"/>
          <w:color w:val="333333"/>
          <w:sz w:val="21"/>
          <w:szCs w:val="21"/>
        </w:rPr>
        <w:t xml:space="preserve">241 unit tests covering all routes</w:t>
      </w:r>
    </w:p>
    <w:p>
      <w:pPr>
        <w:pStyle w:val="ListParagraph"/>
        <w:numPr>
          <w:ilvl w:val="0"/>
          <w:numId w:val="1"/>
        </w:numPr>
        <w:spacing w:after="60" w:line="280"/>
      </w:pPr>
      <w:r>
        <w:rPr>
          <w:rFonts w:ascii="Calibri" w:cs="Calibri" w:eastAsia="Calibri" w:hAnsi="Calibri"/>
          <w:color w:val="333333"/>
          <w:sz w:val="21"/>
          <w:szCs w:val="21"/>
        </w:rPr>
        <w:t xml:space="preserve">Templates: PLN-004, AUD-005</w:t>
      </w:r>
    </w:p>
    <w:p>
      <w:pPr>
        <w:pStyle w:val="Heading2"/>
        <w:spacing w:before="200" w:after="100"/>
      </w:pPr>
      <w:r>
        <w:rPr>
          <w:rFonts w:ascii="Calibri" w:cs="Calibri" w:eastAsia="Calibri" w:hAnsi="Calibri"/>
          <w:b/>
          <w:bCs/>
          <w:color w:val="1B3A5C"/>
          <w:sz w:val="24"/>
          <w:szCs w:val="24"/>
        </w:rPr>
        <w:t xml:space="preserve">4.6 ISO 50001:2018 — Energy Management</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energy management module:</w:t>
      </w:r>
    </w:p>
    <w:p>
      <w:pPr>
        <w:pStyle w:val="ListParagraph"/>
        <w:numPr>
          <w:ilvl w:val="0"/>
          <w:numId w:val="1"/>
        </w:numPr>
        <w:spacing w:after="60" w:line="280"/>
      </w:pPr>
      <w:r>
        <w:rPr>
          <w:rFonts w:ascii="Calibri" w:cs="Calibri" w:eastAsia="Calibri" w:hAnsi="Calibri"/>
          <w:color w:val="333333"/>
          <w:sz w:val="21"/>
          <w:szCs w:val="21"/>
        </w:rPr>
        <w:t xml:space="preserve">api-energy (port 4020): Energy consumption tracking, baselines, EnPIs, audits, action plans</w:t>
      </w:r>
    </w:p>
    <w:p>
      <w:pPr>
        <w:pStyle w:val="ListParagraph"/>
        <w:numPr>
          <w:ilvl w:val="0"/>
          <w:numId w:val="1"/>
        </w:numPr>
        <w:spacing w:after="60" w:line="280"/>
      </w:pPr>
      <w:r>
        <w:rPr>
          <w:rFonts w:ascii="Calibri" w:cs="Calibri" w:eastAsia="Calibri" w:hAnsi="Calibri"/>
          <w:color w:val="333333"/>
          <w:sz w:val="21"/>
          <w:szCs w:val="21"/>
        </w:rPr>
        <w:t xml:space="preserve">@ims/emission-factors package: GHG emission factor database</w:t>
      </w:r>
    </w:p>
    <w:p>
      <w:pPr>
        <w:pStyle w:val="ListParagraph"/>
        <w:numPr>
          <w:ilvl w:val="0"/>
          <w:numId w:val="1"/>
        </w:numPr>
        <w:spacing w:after="60" w:line="280"/>
      </w:pPr>
      <w:r>
        <w:rPr>
          <w:rFonts w:ascii="Calibri" w:cs="Calibri" w:eastAsia="Calibri" w:hAnsi="Calibri"/>
          <w:color w:val="333333"/>
          <w:sz w:val="21"/>
          <w:szCs w:val="21"/>
        </w:rPr>
        <w:t xml:space="preserve">12 Prisma models in energy.prisma</w:t>
      </w:r>
    </w:p>
    <w:p>
      <w:pPr>
        <w:pStyle w:val="ListParagraph"/>
        <w:numPr>
          <w:ilvl w:val="0"/>
          <w:numId w:val="1"/>
        </w:numPr>
        <w:spacing w:after="60" w:line="280"/>
      </w:pPr>
      <w:r>
        <w:rPr>
          <w:rFonts w:ascii="Calibri" w:cs="Calibri" w:eastAsia="Calibri" w:hAnsi="Calibri"/>
          <w:color w:val="333333"/>
          <w:sz w:val="21"/>
          <w:szCs w:val="21"/>
        </w:rPr>
        <w:t xml:space="preserve">Templates: POL-009, PLN-005, AUD-006</w:t>
      </w:r>
    </w:p>
    <w:p>
      <w:pPr>
        <w:pStyle w:val="Heading2"/>
        <w:spacing w:before="200" w:after="100"/>
      </w:pPr>
      <w:r>
        <w:rPr>
          <w:rFonts w:ascii="Calibri" w:cs="Calibri" w:eastAsia="Calibri" w:hAnsi="Calibri"/>
          <w:b/>
          <w:bCs/>
          <w:color w:val="1B3A5C"/>
          <w:sz w:val="24"/>
          <w:szCs w:val="24"/>
        </w:rPr>
        <w:t xml:space="preserve">4.7 ISO 37001:2016 — Anti-Bribery</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anti-bribery module:</w:t>
      </w:r>
    </w:p>
    <w:p>
      <w:pPr>
        <w:pStyle w:val="ListParagraph"/>
        <w:numPr>
          <w:ilvl w:val="0"/>
          <w:numId w:val="1"/>
        </w:numPr>
        <w:spacing w:after="60" w:line="280"/>
      </w:pPr>
      <w:r>
        <w:rPr>
          <w:rFonts w:ascii="Calibri" w:cs="Calibri" w:eastAsia="Calibri" w:hAnsi="Calibri"/>
          <w:color w:val="333333"/>
          <w:sz w:val="21"/>
          <w:szCs w:val="21"/>
        </w:rPr>
        <w:t xml:space="preserve">api-iso37001 (port 4024): Due diligence, gift register, risk assessments, training, whistleblowing</w:t>
      </w:r>
    </w:p>
    <w:p>
      <w:pPr>
        <w:pStyle w:val="ListParagraph"/>
        <w:numPr>
          <w:ilvl w:val="0"/>
          <w:numId w:val="1"/>
        </w:numPr>
        <w:spacing w:after="60" w:line="280"/>
      </w:pPr>
      <w:r>
        <w:rPr>
          <w:rFonts w:ascii="Calibri" w:cs="Calibri" w:eastAsia="Calibri" w:hAnsi="Calibri"/>
          <w:color w:val="333333"/>
          <w:sz w:val="21"/>
          <w:szCs w:val="21"/>
        </w:rPr>
        <w:t xml:space="preserve">Templates: POL-005, FRM-012, AUD-007</w:t>
      </w:r>
    </w:p>
    <w:p>
      <w:pPr>
        <w:pStyle w:val="Heading2"/>
        <w:spacing w:before="200" w:after="100"/>
      </w:pPr>
      <w:r>
        <w:rPr>
          <w:rFonts w:ascii="Calibri" w:cs="Calibri" w:eastAsia="Calibri" w:hAnsi="Calibri"/>
          <w:b/>
          <w:bCs/>
          <w:color w:val="1B3A5C"/>
          <w:sz w:val="24"/>
          <w:szCs w:val="24"/>
        </w:rPr>
        <w:t xml:space="preserve">4.8 ISO/IEC 42001:2023 — AI Management</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AI governance module:</w:t>
      </w:r>
    </w:p>
    <w:p>
      <w:pPr>
        <w:pStyle w:val="ListParagraph"/>
        <w:numPr>
          <w:ilvl w:val="0"/>
          <w:numId w:val="1"/>
        </w:numPr>
        <w:spacing w:after="60" w:line="280"/>
      </w:pPr>
      <w:r>
        <w:rPr>
          <w:rFonts w:ascii="Calibri" w:cs="Calibri" w:eastAsia="Calibri" w:hAnsi="Calibri"/>
          <w:color w:val="333333"/>
          <w:sz w:val="21"/>
          <w:szCs w:val="21"/>
        </w:rPr>
        <w:t xml:space="preserve">api-iso42001 (port 4023): AI inventory, risk assessments, impact assessments, controls, monitoring</w:t>
      </w:r>
    </w:p>
    <w:p>
      <w:pPr>
        <w:pStyle w:val="ListParagraph"/>
        <w:numPr>
          <w:ilvl w:val="0"/>
          <w:numId w:val="1"/>
        </w:numPr>
        <w:spacing w:after="60" w:line="280"/>
      </w:pPr>
      <w:r>
        <w:rPr>
          <w:rFonts w:ascii="Calibri" w:cs="Calibri" w:eastAsia="Calibri" w:hAnsi="Calibri"/>
          <w:color w:val="333333"/>
          <w:sz w:val="21"/>
          <w:szCs w:val="21"/>
        </w:rPr>
        <w:t xml:space="preserve">api-ai-analysis (port 4004): AI-powered analysis across all modules</w:t>
      </w:r>
    </w:p>
    <w:p>
      <w:pPr>
        <w:pStyle w:val="ListParagraph"/>
        <w:numPr>
          <w:ilvl w:val="0"/>
          <w:numId w:val="1"/>
        </w:numPr>
        <w:spacing w:after="60" w:line="280"/>
      </w:pPr>
      <w:r>
        <w:rPr>
          <w:rFonts w:ascii="Calibri" w:cs="Calibri" w:eastAsia="Calibri" w:hAnsi="Calibri"/>
          <w:color w:val="333333"/>
          <w:sz w:val="21"/>
          <w:szCs w:val="21"/>
        </w:rPr>
        <w:t xml:space="preserve">Templates: POL-006, FRM-013, AUD-008</w:t>
      </w:r>
    </w:p>
    <w:p>
      <w:pPr>
        <w:pStyle w:val="Heading2"/>
        <w:spacing w:before="200" w:after="100"/>
      </w:pPr>
      <w:r>
        <w:rPr>
          <w:rFonts w:ascii="Calibri" w:cs="Calibri" w:eastAsia="Calibri" w:hAnsi="Calibri"/>
          <w:b/>
          <w:bCs/>
          <w:color w:val="1B3A5C"/>
          <w:sz w:val="24"/>
          <w:szCs w:val="24"/>
        </w:rPr>
        <w:t xml:space="preserve">4.9 GDPR / UK GDPR</w:t>
      </w:r>
    </w:p>
    <w:p>
      <w:pPr>
        <w:spacing w:after="120" w:line="300"/>
      </w:pPr>
      <w:r>
        <w:rPr>
          <w:rFonts w:ascii="Calibri" w:cs="Calibri" w:eastAsia="Calibri" w:hAnsi="Calibri"/>
          <w:color w:val="333333"/>
          <w:sz w:val="21"/>
          <w:szCs w:val="21"/>
        </w:rPr>
        <w:t xml:space="preserve">Coverage: STRONG</w:t>
      </w:r>
    </w:p>
    <w:p>
      <w:pPr>
        <w:spacing w:after="120" w:line="300"/>
      </w:pPr>
      <w:r>
        <w:rPr>
          <w:rFonts w:ascii="Calibri" w:cs="Calibri" w:eastAsia="Calibri" w:hAnsi="Calibri"/>
          <w:color w:val="333333"/>
          <w:sz w:val="21"/>
          <w:szCs w:val="21"/>
        </w:rPr>
        <w:t xml:space="preserve">Data protection capabilities embedded across the platform:</w:t>
      </w:r>
    </w:p>
    <w:p>
      <w:pPr>
        <w:pStyle w:val="ListParagraph"/>
        <w:numPr>
          <w:ilvl w:val="0"/>
          <w:numId w:val="1"/>
        </w:numPr>
        <w:spacing w:after="60" w:line="280"/>
      </w:pPr>
      <w:r>
        <w:rPr>
          <w:rFonts w:ascii="Calibri" w:cs="Calibri" w:eastAsia="Calibri" w:hAnsi="Calibri"/>
          <w:color w:val="333333"/>
          <w:sz w:val="21"/>
          <w:szCs w:val="21"/>
        </w:rPr>
        <w:t xml:space="preserve">api-infosec (port 4015): Data processing records (ROPA), breach management, DPIA tracking</w:t>
      </w:r>
    </w:p>
    <w:p>
      <w:pPr>
        <w:pStyle w:val="ListParagraph"/>
        <w:numPr>
          <w:ilvl w:val="0"/>
          <w:numId w:val="1"/>
        </w:numPr>
        <w:spacing w:after="60" w:line="280"/>
      </w:pPr>
      <w:r>
        <w:rPr>
          <w:rFonts w:ascii="Calibri" w:cs="Calibri" w:eastAsia="Calibri" w:hAnsi="Calibri"/>
          <w:color w:val="333333"/>
          <w:sz w:val="21"/>
          <w:szCs w:val="21"/>
        </w:rPr>
        <w:t xml:space="preserve">Role-based access controls on all personal data</w:t>
      </w:r>
    </w:p>
    <w:p>
      <w:pPr>
        <w:pStyle w:val="ListParagraph"/>
        <w:numPr>
          <w:ilvl w:val="0"/>
          <w:numId w:val="1"/>
        </w:numPr>
        <w:spacing w:after="60" w:line="280"/>
      </w:pPr>
      <w:r>
        <w:rPr>
          <w:rFonts w:ascii="Calibri" w:cs="Calibri" w:eastAsia="Calibri" w:hAnsi="Calibri"/>
          <w:color w:val="333333"/>
          <w:sz w:val="21"/>
          <w:szCs w:val="21"/>
        </w:rPr>
        <w:t xml:space="preserve">Audit logging across all services</w:t>
      </w:r>
    </w:p>
    <w:p>
      <w:pPr>
        <w:pStyle w:val="ListParagraph"/>
        <w:numPr>
          <w:ilvl w:val="0"/>
          <w:numId w:val="1"/>
        </w:numPr>
        <w:spacing w:after="60" w:line="280"/>
      </w:pPr>
      <w:r>
        <w:rPr>
          <w:rFonts w:ascii="Calibri" w:cs="Calibri" w:eastAsia="Calibri" w:hAnsi="Calibri"/>
          <w:color w:val="333333"/>
          <w:sz w:val="21"/>
          <w:szCs w:val="21"/>
        </w:rPr>
        <w:t xml:space="preserve">Templates: POL-007, FRM-014, AUD-009</w:t>
      </w:r>
    </w:p>
    <w:p>
      <w:pPr>
        <w:pStyle w:val="Heading2"/>
        <w:spacing w:before="200" w:after="100"/>
      </w:pPr>
      <w:r>
        <w:rPr>
          <w:rFonts w:ascii="Calibri" w:cs="Calibri" w:eastAsia="Calibri" w:hAnsi="Calibri"/>
          <w:b/>
          <w:bCs/>
          <w:color w:val="1B3A5C"/>
          <w:sz w:val="24"/>
          <w:szCs w:val="24"/>
        </w:rPr>
        <w:t xml:space="preserve">4.10 ESG / CSRD / GRI</w:t>
      </w:r>
    </w:p>
    <w:p>
      <w:pPr>
        <w:spacing w:after="120" w:line="300"/>
      </w:pPr>
      <w:r>
        <w:rPr>
          <w:rFonts w:ascii="Calibri" w:cs="Calibri" w:eastAsia="Calibri" w:hAnsi="Calibri"/>
          <w:color w:val="333333"/>
          <w:sz w:val="21"/>
          <w:szCs w:val="21"/>
        </w:rPr>
        <w:t xml:space="preserve">Coverage: COMPREHENSIVE</w:t>
      </w:r>
    </w:p>
    <w:p>
      <w:pPr>
        <w:spacing w:after="120" w:line="300"/>
      </w:pPr>
      <w:r>
        <w:rPr>
          <w:rFonts w:ascii="Calibri" w:cs="Calibri" w:eastAsia="Calibri" w:hAnsi="Calibri"/>
          <w:color w:val="333333"/>
          <w:sz w:val="21"/>
          <w:szCs w:val="21"/>
        </w:rPr>
        <w:t xml:space="preserve">Dedicated ESG reporting module:</w:t>
      </w:r>
    </w:p>
    <w:p>
      <w:pPr>
        <w:pStyle w:val="ListParagraph"/>
        <w:numPr>
          <w:ilvl w:val="0"/>
          <w:numId w:val="1"/>
        </w:numPr>
        <w:spacing w:after="60" w:line="280"/>
      </w:pPr>
      <w:r>
        <w:rPr>
          <w:rFonts w:ascii="Calibri" w:cs="Calibri" w:eastAsia="Calibri" w:hAnsi="Calibri"/>
          <w:color w:val="333333"/>
          <w:sz w:val="21"/>
          <w:szCs w:val="21"/>
        </w:rPr>
        <w:t xml:space="preserve">api-esg (port 4016): Materiality assessments, targets, initiatives, stakeholder engagement, ESG metrics</w:t>
      </w:r>
    </w:p>
    <w:p>
      <w:pPr>
        <w:pStyle w:val="ListParagraph"/>
        <w:numPr>
          <w:ilvl w:val="0"/>
          <w:numId w:val="1"/>
        </w:numPr>
        <w:spacing w:after="60" w:line="280"/>
      </w:pPr>
      <w:r>
        <w:rPr>
          <w:rFonts w:ascii="Calibri" w:cs="Calibri" w:eastAsia="Calibri" w:hAnsi="Calibri"/>
          <w:color w:val="333333"/>
          <w:sz w:val="21"/>
          <w:szCs w:val="21"/>
        </w:rPr>
        <w:t xml:space="preserve">@ims/emission-factors: Scope 1/2/3 GHG emission calculations</w:t>
      </w:r>
    </w:p>
    <w:p>
      <w:pPr>
        <w:pStyle w:val="ListParagraph"/>
        <w:numPr>
          <w:ilvl w:val="0"/>
          <w:numId w:val="1"/>
        </w:numPr>
        <w:spacing w:after="60" w:line="280"/>
      </w:pPr>
      <w:r>
        <w:rPr>
          <w:rFonts w:ascii="Calibri" w:cs="Calibri" w:eastAsia="Calibri" w:hAnsi="Calibri"/>
          <w:color w:val="333333"/>
          <w:sz w:val="21"/>
          <w:szCs w:val="21"/>
        </w:rPr>
        <w:t xml:space="preserve">15 Prisma models in esg.prisma</w:t>
      </w:r>
    </w:p>
    <w:p>
      <w:pPr>
        <w:pStyle w:val="ListParagraph"/>
        <w:numPr>
          <w:ilvl w:val="0"/>
          <w:numId w:val="1"/>
        </w:numPr>
        <w:spacing w:after="60" w:line="280"/>
      </w:pPr>
      <w:r>
        <w:rPr>
          <w:rFonts w:ascii="Calibri" w:cs="Calibri" w:eastAsia="Calibri" w:hAnsi="Calibri"/>
          <w:color w:val="333333"/>
          <w:sz w:val="21"/>
          <w:szCs w:val="21"/>
        </w:rPr>
        <w:t xml:space="preserve">207 unit tests</w:t>
      </w:r>
    </w:p>
    <w:p>
      <w:pPr>
        <w:pStyle w:val="ListParagraph"/>
        <w:numPr>
          <w:ilvl w:val="0"/>
          <w:numId w:val="1"/>
        </w:numPr>
        <w:spacing w:after="60" w:line="280"/>
      </w:pPr>
      <w:r>
        <w:rPr>
          <w:rFonts w:ascii="Calibri" w:cs="Calibri" w:eastAsia="Calibri" w:hAnsi="Calibri"/>
          <w:color w:val="333333"/>
          <w:sz w:val="21"/>
          <w:szCs w:val="21"/>
        </w:rPr>
        <w:t xml:space="preserve">Templates: POL-010, RPT-003, AUD-010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Category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Count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Doc Numbers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Policies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POL-001 to POL-010</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Procedures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15</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PRO-001 to PRO-015</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Safe Working Procedures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8</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SWP-001 to SWP-008</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Forms &amp; Checklists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14</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FRM-001 to FRM-014</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Registers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6</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REG-001 to REG-006</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Plans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5</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PLN-001 to PLN-005</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Reports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5</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RPT-001 to RPT-005</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Audit Checklists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AUD-001 to AUD-010</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TOTAL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73</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Cross-Cutting Platform Capabilities</w:t>
      </w:r>
    </w:p>
    <w:p>
      <w:pPr>
        <w:pStyle w:val="ListParagraph"/>
        <w:numPr>
          <w:ilvl w:val="0"/>
          <w:numId w:val="1"/>
        </w:numPr>
        <w:spacing w:after="60" w:line="280"/>
      </w:pPr>
      <w:r>
        <w:rPr>
          <w:rFonts w:ascii="Calibri" w:cs="Calibri" w:eastAsia="Calibri" w:hAnsi="Calibri"/>
          <w:color w:val="333333"/>
          <w:sz w:val="21"/>
          <w:szCs w:val="21"/>
        </w:rPr>
        <w:t xml:space="preserve">Integrated RBAC: 39 roles across 17 modules with 7 permission levels — supports segregation of duties required by ISO 27001 and ISO 37001</w:t>
      </w:r>
    </w:p>
    <w:p>
      <w:pPr>
        <w:pStyle w:val="ListParagraph"/>
        <w:numPr>
          <w:ilvl w:val="0"/>
          <w:numId w:val="1"/>
        </w:numPr>
        <w:spacing w:after="60" w:line="280"/>
      </w:pPr>
      <w:r>
        <w:rPr>
          <w:rFonts w:ascii="Calibri" w:cs="Calibri" w:eastAsia="Calibri" w:hAnsi="Calibri"/>
          <w:color w:val="333333"/>
          <w:sz w:val="21"/>
          <w:szCs w:val="21"/>
        </w:rPr>
        <w:t xml:space="preserve">WebSocket Notifications: Real-time alerts for approvals, escalations, and overdue actions</w:t>
      </w:r>
    </w:p>
    <w:p>
      <w:pPr>
        <w:pStyle w:val="ListParagraph"/>
        <w:numPr>
          <w:ilvl w:val="0"/>
          <w:numId w:val="1"/>
        </w:numPr>
        <w:spacing w:after="60" w:line="280"/>
      </w:pPr>
      <w:r>
        <w:rPr>
          <w:rFonts w:ascii="Calibri" w:cs="Calibri" w:eastAsia="Calibri" w:hAnsi="Calibri"/>
          <w:color w:val="333333"/>
          <w:sz w:val="21"/>
          <w:szCs w:val="21"/>
        </w:rPr>
        <w:t xml:space="preserve">Visual Workflow Builder: 6 ISO-aligned workflow templates, drag-and-drop nodes</w:t>
      </w:r>
    </w:p>
    <w:p>
      <w:pPr>
        <w:pStyle w:val="ListParagraph"/>
        <w:numPr>
          <w:ilvl w:val="0"/>
          <w:numId w:val="1"/>
        </w:numPr>
        <w:spacing w:after="60" w:line="280"/>
      </w:pPr>
      <w:r>
        <w:rPr>
          <w:rFonts w:ascii="Calibri" w:cs="Calibri" w:eastAsia="Calibri" w:hAnsi="Calibri"/>
          <w:color w:val="333333"/>
          <w:sz w:val="21"/>
          <w:szCs w:val="21"/>
        </w:rPr>
        <w:t xml:space="preserve">PWA Offline Support: Service worker with sync queue for field workers (ISO 45001, field service)</w:t>
      </w:r>
    </w:p>
    <w:p>
      <w:pPr>
        <w:pStyle w:val="ListParagraph"/>
        <w:numPr>
          <w:ilvl w:val="0"/>
          <w:numId w:val="1"/>
        </w:numPr>
        <w:spacing w:after="60" w:line="280"/>
      </w:pPr>
      <w:r>
        <w:rPr>
          <w:rFonts w:ascii="Calibri" w:cs="Calibri" w:eastAsia="Calibri" w:hAnsi="Calibri"/>
          <w:color w:val="333333"/>
          <w:sz w:val="21"/>
          <w:szCs w:val="21"/>
        </w:rPr>
        <w:t xml:space="preserve">Evidence Pack Generator: Automated compilation of compliance evidence for certification audits</w:t>
      </w:r>
    </w:p>
    <w:p>
      <w:pPr>
        <w:pStyle w:val="ListParagraph"/>
        <w:numPr>
          <w:ilvl w:val="0"/>
          <w:numId w:val="1"/>
        </w:numPr>
        <w:spacing w:after="60" w:line="280"/>
      </w:pPr>
      <w:r>
        <w:rPr>
          <w:rFonts w:ascii="Calibri" w:cs="Calibri" w:eastAsia="Calibri" w:hAnsi="Calibri"/>
          <w:color w:val="333333"/>
          <w:sz w:val="21"/>
          <w:szCs w:val="21"/>
        </w:rPr>
        <w:t xml:space="preserve">Headstart Tool: 8 ISO standard templates for rapid IMS setup</w:t>
      </w:r>
    </w:p>
    <w:p>
      <w:pPr>
        <w:pStyle w:val="ListParagraph"/>
        <w:numPr>
          <w:ilvl w:val="0"/>
          <w:numId w:val="1"/>
        </w:numPr>
        <w:spacing w:after="60" w:line="280"/>
      </w:pPr>
      <w:r>
        <w:rPr>
          <w:rFonts w:ascii="Calibri" w:cs="Calibri" w:eastAsia="Calibri" w:hAnsi="Calibri"/>
          <w:color w:val="333333"/>
          <w:sz w:val="21"/>
          <w:szCs w:val="21"/>
        </w:rPr>
        <w:t xml:space="preserve">MSP Mode: Multi-tenant support for managed service providers serving multiple client organisations</w:t>
      </w:r>
    </w:p>
    <w:p>
      <w:pPr>
        <w:pStyle w:val="ListParagraph"/>
        <w:numPr>
          <w:ilvl w:val="0"/>
          <w:numId w:val="1"/>
        </w:numPr>
        <w:spacing w:after="60" w:line="280"/>
      </w:pPr>
      <w:r>
        <w:rPr>
          <w:rFonts w:ascii="Calibri" w:cs="Calibri" w:eastAsia="Calibri" w:hAnsi="Calibri"/>
          <w:color w:val="333333"/>
          <w:sz w:val="21"/>
          <w:szCs w:val="21"/>
        </w:rPr>
        <w:t xml:space="preserve">Regulatory Feed: Live regulatory change monitoring with impact assessments</w:t>
      </w:r>
    </w:p>
    <w:p>
      <w:pPr>
        <w:pStyle w:val="ListParagraph"/>
        <w:numPr>
          <w:ilvl w:val="0"/>
          <w:numId w:val="1"/>
        </w:numPr>
        <w:spacing w:after="60" w:line="280"/>
      </w:pPr>
      <w:r>
        <w:rPr>
          <w:rFonts w:ascii="Calibri" w:cs="Calibri" w:eastAsia="Calibri" w:hAnsi="Calibri"/>
          <w:color w:val="333333"/>
          <w:sz w:val="21"/>
          <w:szCs w:val="21"/>
        </w:rPr>
        <w:t xml:space="preserve">AI Template Generator: On-demand template creation for any compliance document</w:t>
      </w:r>
    </w:p>
    <w:p>
      <w:pPr>
        <w:pStyle w:val="ListParagraph"/>
        <w:numPr>
          <w:ilvl w:val="0"/>
          <w:numId w:val="1"/>
        </w:numPr>
        <w:spacing w:after="60" w:line="280"/>
      </w:pPr>
      <w:r>
        <w:rPr>
          <w:rFonts w:ascii="Calibri" w:cs="Calibri" w:eastAsia="Calibri" w:hAnsi="Calibri"/>
          <w:color w:val="333333"/>
          <w:sz w:val="21"/>
          <w:szCs w:val="21"/>
        </w:rPr>
        <w:t xml:space="preserve">110+ built-in module templates across 22 modules (separate from the 73 compliance templates)</w:t>
      </w:r>
    </w:p>
    <w:p>
      <w:pPr>
        <w:pStyle w:val="Heading1"/>
        <w:pBdr>
          <w:bottom w:val="single" w:color="E8EFF7" w:sz="1"/>
        </w:pBdr>
        <w:spacing w:before="400" w:after="100"/>
      </w:pPr>
      <w:r>
        <w:rPr>
          <w:rFonts w:ascii="Calibri" w:cs="Calibri" w:eastAsia="Calibri" w:hAnsi="Calibri"/>
          <w:b/>
          <w:bCs/>
          <w:color w:val="1B3A5C"/>
          <w:sz w:val="28"/>
          <w:szCs w:val="28"/>
        </w:rPr>
        <w:t xml:space="preserve">7. Recommendations</w:t>
      </w:r>
    </w:p>
    <w:p>
      <w:pPr>
        <w:spacing w:after="120" w:line="300"/>
      </w:pPr>
      <w:r>
        <w:rPr>
          <w:rFonts w:ascii="Calibri" w:cs="Calibri" w:eastAsia="Calibri" w:hAnsi="Calibri"/>
          <w:color w:val="333333"/>
          <w:sz w:val="21"/>
          <w:szCs w:val="21"/>
        </w:rPr>
        <w:t xml:space="preserve">While the Nexara IMS provides comprehensive compliance tooling, the following enhancements would further strengthen the platform:</w:t>
      </w:r>
    </w:p>
    <w:p>
      <w:pPr>
        <w:pStyle w:val="ListParagraph"/>
        <w:numPr>
          <w:ilvl w:val="0"/>
          <w:numId w:val="1"/>
        </w:numPr>
        <w:spacing w:after="60" w:line="280"/>
      </w:pPr>
      <w:r>
        <w:rPr>
          <w:rFonts w:ascii="Calibri" w:cs="Calibri" w:eastAsia="Calibri" w:hAnsi="Calibri"/>
          <w:color w:val="333333"/>
          <w:sz w:val="21"/>
          <w:szCs w:val="21"/>
        </w:rPr>
        <w:t xml:space="preserve">Add Work Instruction (WI) templates for operational-level procedures</w:t>
      </w:r>
    </w:p>
    <w:p>
      <w:pPr>
        <w:pStyle w:val="ListParagraph"/>
        <w:numPr>
          <w:ilvl w:val="0"/>
          <w:numId w:val="1"/>
        </w:numPr>
        <w:spacing w:after="60" w:line="280"/>
      </w:pPr>
      <w:r>
        <w:rPr>
          <w:rFonts w:ascii="Calibri" w:cs="Calibri" w:eastAsia="Calibri" w:hAnsi="Calibri"/>
          <w:color w:val="333333"/>
          <w:sz w:val="21"/>
          <w:szCs w:val="21"/>
        </w:rPr>
        <w:t xml:space="preserve">Add Specification (SPC) templates for product/service quality requirements</w:t>
      </w:r>
    </w:p>
    <w:p>
      <w:pPr>
        <w:pStyle w:val="ListParagraph"/>
        <w:numPr>
          <w:ilvl w:val="0"/>
          <w:numId w:val="1"/>
        </w:numPr>
        <w:spacing w:after="60" w:line="280"/>
      </w:pPr>
      <w:r>
        <w:rPr>
          <w:rFonts w:ascii="Calibri" w:cs="Calibri" w:eastAsia="Calibri" w:hAnsi="Calibri"/>
          <w:color w:val="333333"/>
          <w:sz w:val="21"/>
          <w:szCs w:val="21"/>
        </w:rPr>
        <w:t xml:space="preserve">Consider ISO 22301 (Business Continuity) as a standalone module — currently embedded in ISO 27001</w:t>
      </w:r>
    </w:p>
    <w:p>
      <w:pPr>
        <w:pStyle w:val="ListParagraph"/>
        <w:numPr>
          <w:ilvl w:val="0"/>
          <w:numId w:val="1"/>
        </w:numPr>
        <w:spacing w:after="60" w:line="280"/>
      </w:pPr>
      <w:r>
        <w:rPr>
          <w:rFonts w:ascii="Calibri" w:cs="Calibri" w:eastAsia="Calibri" w:hAnsi="Calibri"/>
          <w:color w:val="333333"/>
          <w:sz w:val="21"/>
          <w:szCs w:val="21"/>
        </w:rPr>
        <w:t xml:space="preserve">Add ISO 14064 (GHG Quantification) specific reporting templates</w:t>
      </w:r>
    </w:p>
    <w:p>
      <w:pPr>
        <w:pStyle w:val="ListParagraph"/>
        <w:numPr>
          <w:ilvl w:val="0"/>
          <w:numId w:val="1"/>
        </w:numPr>
        <w:spacing w:after="60" w:line="280"/>
      </w:pPr>
      <w:r>
        <w:rPr>
          <w:rFonts w:ascii="Calibri" w:cs="Calibri" w:eastAsia="Calibri" w:hAnsi="Calibri"/>
          <w:color w:val="333333"/>
          <w:sz w:val="21"/>
          <w:szCs w:val="21"/>
        </w:rPr>
        <w:t xml:space="preserve">Expand the training matrix to include competence-based assessment rubrics</w:t>
      </w:r>
    </w:p>
    <w:p>
      <w:pPr>
        <w:pStyle w:val="ListParagraph"/>
        <w:numPr>
          <w:ilvl w:val="0"/>
          <w:numId w:val="1"/>
        </w:numPr>
        <w:spacing w:after="60" w:line="280"/>
      </w:pPr>
      <w:r>
        <w:rPr>
          <w:rFonts w:ascii="Calibri" w:cs="Calibri" w:eastAsia="Calibri" w:hAnsi="Calibri"/>
          <w:color w:val="333333"/>
          <w:sz w:val="21"/>
          <w:szCs w:val="21"/>
        </w:rPr>
        <w:t xml:space="preserve">Add integrated legal register with jurisdiction-specific regulatory requirements</w:t>
      </w:r>
    </w:p>
    <w:p>
      <w:pPr>
        <w:pStyle w:val="Heading1"/>
        <w:pBdr>
          <w:bottom w:val="single" w:color="E8EFF7" w:sz="1"/>
        </w:pBdr>
        <w:spacing w:before="400" w:after="100"/>
      </w:pPr>
      <w:r>
        <w:rPr>
          <w:rFonts w:ascii="Calibri" w:cs="Calibri" w:eastAsia="Calibri" w:hAnsi="Calibri"/>
          <w:b/>
          <w:bCs/>
          <w:color w:val="1B3A5C"/>
          <w:sz w:val="28"/>
          <w:szCs w:val="28"/>
        </w:rPr>
        <w:t xml:space="preserve">8. Conclusion</w:t>
      </w:r>
    </w:p>
    <w:p>
      <w:pPr>
        <w:spacing w:after="120" w:line="300"/>
      </w:pPr>
      <w:r>
        <w:rPr>
          <w:rFonts w:ascii="Calibri" w:cs="Calibri" w:eastAsia="Calibri" w:hAnsi="Calibri"/>
          <w:color w:val="333333"/>
          <w:sz w:val="21"/>
          <w:szCs w:val="21"/>
        </w:rPr>
        <w:t xml:space="preserve">The Nexara IMS represents a comprehensive, production-ready integrated management system platform. With 73 professional compliance document templates, 39 API microservices, and 636 database tables, it provides the tooling necessary for organisations to achieve and maintain certification to multiple ISO standards simultaneously.</w:t>
      </w:r>
    </w:p>
    <w:p>
      <w:pPr>
        <w:spacing w:after="120" w:line="300"/>
      </w:pPr>
      <w:r>
        <w:rPr>
          <w:rFonts w:ascii="Calibri" w:cs="Calibri" w:eastAsia="Calibri" w:hAnsi="Calibri"/>
          <w:color w:val="333333"/>
          <w:sz w:val="21"/>
          <w:szCs w:val="21"/>
        </w:rPr>
        <w:t xml:space="preserve">The template library covers all mandatory documented information requirements across ISO 9001, ISO 14001, ISO 45001, ISO 27001, ISO 22000, ISO 50001, ISO 37001, and ISO 42001, as well as GDPR and ESG/CSRD reporting obligations.</w:t>
      </w:r>
    </w:p>
    <w:p>
      <w:pPr>
        <w:spacing w:after="120" w:line="300"/>
      </w:pPr>
      <w:r>
        <w:rPr>
          <w:rFonts w:ascii="Calibri" w:cs="Calibri" w:eastAsia="Calibri" w:hAnsi="Calibri"/>
          <w:color w:val="333333"/>
          <w:sz w:val="21"/>
          <w:szCs w:val="21"/>
        </w:rPr>
        <w:t xml:space="preserve">The platform's architecture — with domain-specific microservices, shared packages, and consistent patterns — enables rapid customisation for any industry sector.</w:t>
      </w:r>
    </w:p>
    <w:p>
      <w:pPr>
        <w:pStyle w:val="Heading1"/>
        <w:pBdr>
          <w:bottom w:val="single" w:color="E8EFF7" w:sz="1"/>
        </w:pBdr>
        <w:spacing w:before="400" w:after="100"/>
      </w:pPr>
      <w:r>
        <w:rPr>
          <w:rFonts w:ascii="Calibri" w:cs="Calibri" w:eastAsia="Calibri" w:hAnsi="Calibri"/>
          <w:b/>
          <w:bCs/>
          <w:color w:val="1B3A5C"/>
          <w:sz w:val="28"/>
          <w:szCs w:val="28"/>
        </w:rPr>
        <w:t xml:space="preserve">9. Appendix — Full Template Catalogue</w:t>
      </w:r>
    </w:p>
    <w:p>
      <w:pPr>
        <w:spacing w:after="120" w:line="300"/>
      </w:pPr>
      <w:r>
        <w:rPr>
          <w:rFonts w:ascii="Calibri" w:cs="Calibri" w:eastAsia="Calibri" w:hAnsi="Calibri"/>
          <w:color w:val="333333"/>
          <w:sz w:val="21"/>
          <w:szCs w:val="21"/>
        </w:rPr>
        <w:t xml:space="preserve">See docs/compliance-templates/INDEX.md for the complete template catalogue with ISO clause cross-references.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RPT-AUDIT-001  |  v1.0  |  Multi-Standard IMS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2026-02-16T15:32:15.272Z</dcterms:created>
  <dcterms:modified xsi:type="dcterms:W3CDTF">2026-02-16T15:32:15.272Z</dcterms:modified>
</cp:coreProperties>
</file>

<file path=docProps/custom.xml><?xml version="1.0" encoding="utf-8"?>
<Properties xmlns="http://schemas.openxmlformats.org/officeDocument/2006/custom-properties" xmlns:vt="http://schemas.openxmlformats.org/officeDocument/2006/docPropsVTypes"/>
</file>