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ISMS Internal Audit Programme</w:t>
      </w:r>
    </w:p>
    <w:p>
      <w:pPr>
        <w:spacing w:after="800"/>
        <w:jc w:val="center"/>
      </w:pPr>
      <w:r>
        <w:rPr>
          <w:rFonts w:ascii="Calibri" w:cs="Calibri" w:eastAsia="Calibri" w:hAnsi="Calibri"/>
          <w:color w:val="666666"/>
          <w:sz w:val="24"/>
          <w:szCs w:val="24"/>
        </w:rPr>
        <w:t xml:space="preserve">ISO/IEC 27001:2022 Clause 9.2</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PLN-011</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[Information Security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[CISO]</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establish a planned programme of internal audits to verify that the ISMS conforms to ISO/IEC 27001:2022 requirements and is effectively implemented and maintained.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Audit #</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Scope (Clauses/Controls)</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Auditee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Lead Auditor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Planned 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Status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ISMS-AUD-001</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Clauses 4-5 (Context, Leadership)</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[Management]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[Auditor]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Q1</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Planned</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ISMS-AUD-002</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Clauses 6-7 (Planning, Support)</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[IS Manager]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[Auditor]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Q1</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Planned</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ISMS-AUD-003</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Clause 8 (Operation) + A.5 (Org Controls)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[IT/IS Team]</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[Auditor]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Q2</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Planned</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ISMS-AUD-004</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A.6 (People) + A.7 (Physical)</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[HR + Facilities]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[Auditor]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Q2</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Planned</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ISMS-AUD-005</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A.8 (Technological)</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[IT Team]</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[Auditor]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Q3</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Planned</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ISMS-AUD-006</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Clauses 9-10 (Performance, Improvement)</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[IS Manager]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[Auditor]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Q3</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Planned</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3. Auditor Competence</w:t>
      </w:r>
    </w:p>
    <w:p>
      <w:pPr>
        <w:spacing w:after="120" w:line="300"/>
      </w:pPr>
      <w:r>
        <w:rPr>
          <w:rFonts w:ascii="Calibri" w:cs="Calibri" w:eastAsia="Calibri" w:hAnsi="Calibri"/>
          <w:color w:val="333333"/>
          <w:sz w:val="21"/>
          <w:szCs w:val="21"/>
        </w:rPr>
        <w:t xml:space="preserve">Internal auditors must:</w:t>
      </w:r>
    </w:p>
    <w:p>
      <w:pPr>
        <w:spacing w:after="120" w:line="300"/>
      </w:pPr>
      <w:r>
        <w:rPr>
          <w:rFonts w:ascii="Calibri" w:cs="Calibri" w:eastAsia="Calibri" w:hAnsi="Calibri"/>
          <w:color w:val="333333"/>
          <w:sz w:val="21"/>
          <w:szCs w:val="21"/>
        </w:rPr>
        <w:t xml:space="preserve">a) Have completed ISO 27001 Lead Auditor or Internal Auditor training
b) Be independent of the area being audited
c) Have relevant information security knowledge
d) Maintain records of audit competence in the training matrix (REG-006)</w:t>
      </w:r>
    </w:p>
    <w:p>
      <w:pPr>
        <w:pStyle w:val="Heading1"/>
        <w:pBdr>
          <w:bottom w:val="single" w:color="E8EFF7" w:sz="1"/>
        </w:pBdr>
        <w:spacing w:before="400" w:after="100"/>
      </w:pPr>
      <w:r>
        <w:rPr>
          <w:rFonts w:ascii="Calibri" w:cs="Calibri" w:eastAsia="Calibri" w:hAnsi="Calibri"/>
          <w:b/>
          <w:bCs/>
          <w:color w:val="1B3A5C"/>
          <w:sz w:val="28"/>
          <w:szCs w:val="28"/>
        </w:rPr>
        <w:t xml:space="preserve">4. Audit Methodology</w:t>
      </w:r>
    </w:p>
    <w:p>
      <w:pPr>
        <w:spacing w:after="120" w:line="300"/>
      </w:pPr>
      <w:r>
        <w:rPr>
          <w:rFonts w:ascii="Calibri" w:cs="Calibri" w:eastAsia="Calibri" w:hAnsi="Calibri"/>
          <w:color w:val="333333"/>
          <w:sz w:val="21"/>
          <w:szCs w:val="21"/>
        </w:rPr>
        <w:t xml:space="preserve">Audits follow ISO 19011 guidelines:</w:t>
      </w:r>
    </w:p>
    <w:p>
      <w:pPr>
        <w:spacing w:after="120" w:line="300"/>
      </w:pPr>
      <w:r>
        <w:rPr>
          <w:rFonts w:ascii="Calibri" w:cs="Calibri" w:eastAsia="Calibri" w:hAnsi="Calibri"/>
          <w:color w:val="333333"/>
          <w:sz w:val="21"/>
          <w:szCs w:val="21"/>
        </w:rPr>
        <w:t xml:space="preserve">a) Planning: scope, criteria, schedule
b) Opening meeting with auditee
c) Evidence gathering: document review, interviews, observation, testing
d) Analysis of findings
e) Closing meeting with preliminary findings
f) Audit report issued within 5 working days
g) Corrective actions tracked to closure</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PLN-011  |  v1.0  |  ISO/IEC 27001:2022 Clause 9.2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2026-02-16T15:49:55.853Z</dcterms:created>
  <dcterms:modified xsi:type="dcterms:W3CDTF">2026-02-16T15:49:55.854Z</dcterms:modified>
</cp:coreProperties>
</file>

<file path=docProps/custom.xml><?xml version="1.0" encoding="utf-8"?>
<Properties xmlns="http://schemas.openxmlformats.org/officeDocument/2006/custom-properties" xmlns:vt="http://schemas.openxmlformats.org/officeDocument/2006/docPropsVTypes"/>
</file>