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Anti-Bribery &amp; Corruption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Anti-Bribery &amp; Corruption Policy establishes the zero-tolerance position of [COMPANY NAME] towards bribery and corruption in all forms. It sets out the responsibilities and expected behaviour of all personnel and associated persons, aligned to ISO 37001:2016 and the UK Bribery Act 2010.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directors, officers, employees, agency workers, consultants, contractors, agents, intermediaries, joint venture partners, and any other persons associated with [COMPANY NAME] or acting on its behalf, regardless of location.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has a zero-tolerance approach to bribery and corruption. We are committed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Conducting business with integrity, transparency, and in compliance with all applicable anti-bribery and corruption laws, including the UK Bribery Act 2010, the US Foreign Corrupt Practices Act, and all local laws in jurisdictions where we operate.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Prohibiting all forms of bribery, including offering, promising, giving, requesting, agreeing to receive, or accepting bribes whether directly or through third parties.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Prohibiting facilitation payments (small, unofficial payments to speed up routine governmental actions) in all circumstances.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Implementing proportionate procedures to prevent bribery, including risk assessment, due diligence, training, monitoring, and reporting.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Encouraging the reporting of any suspected bribery through confidential whistleblowing channels without fear of retaliation.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Investigating all allegations of bribery and taking appropriate disciplinary and legal action.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Gifts, Hospitality &amp; Donations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rules apply to gifts and hospitality: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Gifts or hospitality may only be given or accepted if they are reasonable, proportionate, given in good faith, and not intended to influence a business decision.
• All gifts and hospitality above [£/$/€50] must be declared in the Gift &amp; Hospitality Register (FRM-012) and approved by [line manager / Compliance Manager].
• Cash gifts are strictly prohibited under all circumstances.
• Gifts to or from government officials require prior approval from the Compliance Manager.
• Political and charitable donations must be approved by [Board / Managing Director] and recorded in the register.
• Lavish or excessive hospitality is prohibited.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Due Diligence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Proportionate due diligence shall be conducted on: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New business partners, agents, intermediaries, and joint venture partners before engagement
• Suppliers and contractors operating in high-risk sectors or jurisdictions
• Customers where there are bribery risk indicators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Due diligence records are maintained in the Nexara IMS due diligence module and reviewed periodically.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Reporting &amp; Whistleblowing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Anyone who suspects or becomes aware of bribery or corruption must report it immediately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Their line manager (if appropriate)
• The Compliance Manager: [email / phone]
• The confidential whistleblowing hotline: [number / email]
• The Nexara IMS incident reporting module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will not tolerate retaliation against anyone who reports a concern in good faith.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Consequences of Breach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Breach of this policy may result in: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Disciplinary action up to and including dismissal
• Termination of business relationships with third parties
• Criminal prosecution under the Bribery Act 2010 (penalties include unlimited fines and up to 10 years imprisonment)
• Civil liability and reputational damage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FRM-012: Gift &amp; Hospitality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PRO-009: Supplier &amp; Contractor Evaluation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Whistleblowing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Code of Conduct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POL-005  |  v1.0  |  ISO 37001:2016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2026-02-16T14:59:22.608Z</dcterms:created>
  <dcterms:modified xsi:type="dcterms:W3CDTF">2026-02-16T14:59:22.608Z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