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Data Protection &amp; Privacy Policy</w:t>
      </w:r>
    </w:p>
    <w:p>
      <w:pPr>
        <w:spacing w:after="800"/>
        <w:jc w:val="center"/>
      </w:pPr>
      <w:r>
        <w:rPr>
          <w:rFonts w:ascii="Calibri" w:cs="Calibri" w:eastAsia="Calibri" w:hAnsi="Calibri"/>
          <w:color w:val="666666"/>
          <w:sz w:val="24"/>
          <w:szCs w:val="24"/>
        </w:rPr>
        <w:t xml:space="preserve">UK GDPR / Data Protection Act 2018</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POL-007</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[Data Protection Officer]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This Data Protection &amp; Privacy Policy sets out how [COMPANY NAME] collects, uses, stores, shares, and protects personal data in compliance with the UK General Data Protection Regulation (UK GDPR) and the Data Protection Act 2018.</w:t>
      </w:r>
    </w:p>
    <w:p>
      <w:pPr>
        <w:pStyle w:val="Heading1"/>
        <w:pBdr>
          <w:bottom w:val="single" w:color="E8EFF7" w:sz="1"/>
        </w:pBdr>
        <w:spacing w:before="400" w:after="100"/>
      </w:pPr>
      <w:r>
        <w:rPr>
          <w:rFonts w:ascii="Calibri" w:cs="Calibri" w:eastAsia="Calibri" w:hAnsi="Calibri"/>
          <w:b/>
          <w:bCs/>
          <w:color w:val="1B3A5C"/>
          <w:sz w:val="28"/>
          <w:szCs w:val="28"/>
        </w:rPr>
        <w:t xml:space="preserve">2. Scope</w:t>
      </w:r>
    </w:p>
    <w:p>
      <w:pPr>
        <w:spacing w:after="120" w:line="300"/>
      </w:pPr>
      <w:r>
        <w:rPr>
          <w:rFonts w:ascii="Calibri" w:cs="Calibri" w:eastAsia="Calibri" w:hAnsi="Calibri"/>
          <w:color w:val="333333"/>
          <w:sz w:val="21"/>
          <w:szCs w:val="21"/>
        </w:rPr>
        <w:t xml:space="preserve">This policy applies to all personal data processed by [COMPANY NAME], whether in electronic or paper form. It applies to all employees, contractors, and third-party data processors who handle personal data on behalf of the organisation.</w:t>
      </w:r>
    </w:p>
    <w:p>
      <w:pPr>
        <w:pStyle w:val="Heading1"/>
        <w:pBdr>
          <w:bottom w:val="single" w:color="E8EFF7" w:sz="1"/>
        </w:pBdr>
        <w:spacing w:before="400" w:after="100"/>
      </w:pPr>
      <w:r>
        <w:rPr>
          <w:rFonts w:ascii="Calibri" w:cs="Calibri" w:eastAsia="Calibri" w:hAnsi="Calibri"/>
          <w:b/>
          <w:bCs/>
          <w:color w:val="1B3A5C"/>
          <w:sz w:val="28"/>
          <w:szCs w:val="28"/>
        </w:rPr>
        <w:t xml:space="preserve">3. Data Protection Principles</w:t>
      </w:r>
    </w:p>
    <w:p>
      <w:pPr>
        <w:spacing w:after="120" w:line="300"/>
      </w:pPr>
      <w:r>
        <w:rPr>
          <w:rFonts w:ascii="Calibri" w:cs="Calibri" w:eastAsia="Calibri" w:hAnsi="Calibri"/>
          <w:color w:val="333333"/>
          <w:sz w:val="21"/>
          <w:szCs w:val="21"/>
        </w:rPr>
        <w:t xml:space="preserve">[COMPANY NAME] shall ensure that personal data is:</w:t>
      </w:r>
    </w:p>
    <w:p>
      <w:pPr>
        <w:spacing w:after="120" w:line="300"/>
      </w:pPr>
      <w:r>
        <w:rPr>
          <w:rFonts w:ascii="Calibri" w:cs="Calibri" w:eastAsia="Calibri" w:hAnsi="Calibri"/>
          <w:color w:val="333333"/>
          <w:sz w:val="21"/>
          <w:szCs w:val="21"/>
        </w:rPr>
        <w:t xml:space="preserve">a) Processed lawfully, fairly, and in a transparent manner (Lawfulness, Fairness, Transparency)
b) Collected for specified, explicit, and legitimate purposes (Purpose Limitation)
c) Adequate, relevant, and limited to what is necessary (Data Minimisation)
d) Accurate and kept up to date (Accuracy)
e) Kept for no longer than is necessary (Storage Limitation)
f) Processed in a manner that ensures appropriate security (Integrity and Confidentiality)
g) The controller shall be responsible for and be able to demonstrate compliance (Accountability)</w:t>
      </w:r>
    </w:p>
    <w:p>
      <w:pPr>
        <w:pStyle w:val="Heading1"/>
        <w:pBdr>
          <w:bottom w:val="single" w:color="E8EFF7" w:sz="1"/>
        </w:pBdr>
        <w:spacing w:before="400" w:after="100"/>
      </w:pPr>
      <w:r>
        <w:rPr>
          <w:rFonts w:ascii="Calibri" w:cs="Calibri" w:eastAsia="Calibri" w:hAnsi="Calibri"/>
          <w:b/>
          <w:bCs/>
          <w:color w:val="1B3A5C"/>
          <w:sz w:val="28"/>
          <w:szCs w:val="28"/>
        </w:rPr>
        <w:t xml:space="preserve">4. Lawful Basis for Processing</w:t>
      </w:r>
    </w:p>
    <w:p>
      <w:pPr>
        <w:spacing w:after="120" w:line="300"/>
      </w:pPr>
      <w:r>
        <w:rPr>
          <w:rFonts w:ascii="Calibri" w:cs="Calibri" w:eastAsia="Calibri" w:hAnsi="Calibri"/>
          <w:color w:val="333333"/>
          <w:sz w:val="21"/>
          <w:szCs w:val="21"/>
        </w:rPr>
        <w:t xml:space="preserve">[COMPANY NAME] identifies and documents the lawful basis for each processing activity in the Record of Processing Activities (FRM-014). The lawful bases include:</w:t>
      </w:r>
    </w:p>
    <w:p>
      <w:pPr>
        <w:spacing w:after="120" w:line="300"/>
      </w:pPr>
      <w:r>
        <w:rPr>
          <w:rFonts w:ascii="Calibri" w:cs="Calibri" w:eastAsia="Calibri" w:hAnsi="Calibri"/>
          <w:color w:val="333333"/>
          <w:sz w:val="21"/>
          <w:szCs w:val="21"/>
        </w:rPr>
        <w:t xml:space="preserve">• Consent of the data subject
• Performance of a contract
• Compliance with a legal obligation
• Vital interests of the data subject
• Performance of a task in the public interest
• Legitimate interests pursued by the controller</w:t>
      </w:r>
    </w:p>
    <w:p>
      <w:pPr>
        <w:pStyle w:val="Heading1"/>
        <w:pBdr>
          <w:bottom w:val="single" w:color="E8EFF7" w:sz="1"/>
        </w:pBdr>
        <w:spacing w:before="400" w:after="100"/>
      </w:pPr>
      <w:r>
        <w:rPr>
          <w:rFonts w:ascii="Calibri" w:cs="Calibri" w:eastAsia="Calibri" w:hAnsi="Calibri"/>
          <w:b/>
          <w:bCs/>
          <w:color w:val="1B3A5C"/>
          <w:sz w:val="28"/>
          <w:szCs w:val="28"/>
        </w:rPr>
        <w:t xml:space="preserve">5. Data Subject Rights</w:t>
      </w:r>
    </w:p>
    <w:p>
      <w:pPr>
        <w:spacing w:after="120" w:line="300"/>
      </w:pPr>
      <w:r>
        <w:rPr>
          <w:rFonts w:ascii="Calibri" w:cs="Calibri" w:eastAsia="Calibri" w:hAnsi="Calibri"/>
          <w:color w:val="333333"/>
          <w:sz w:val="21"/>
          <w:szCs w:val="21"/>
        </w:rPr>
        <w:t xml:space="preserve">Individuals have the following rights which [COMPANY NAME] will facilitate:</w:t>
      </w:r>
    </w:p>
    <w:p>
      <w:pPr>
        <w:spacing w:after="120" w:line="300"/>
      </w:pPr>
      <w:r>
        <w:rPr>
          <w:rFonts w:ascii="Calibri" w:cs="Calibri" w:eastAsia="Calibri" w:hAnsi="Calibri"/>
          <w:color w:val="333333"/>
          <w:sz w:val="21"/>
          <w:szCs w:val="21"/>
        </w:rPr>
        <w:t xml:space="preserve">• Right to be informed (privacy notices)
• Right of access (Subject Access Requests — responded to within 1 month)
• Right to rectification
• Right to erasure (right to be forgotten)
• Right to restrict processing
• Right to data portability
• Right to object
• Rights related to automated decision making and profiling</w:t>
      </w:r>
    </w:p>
    <w:p>
      <w:pPr>
        <w:spacing w:after="120" w:line="300"/>
      </w:pPr>
      <w:r>
        <w:rPr>
          <w:rFonts w:ascii="Calibri" w:cs="Calibri" w:eastAsia="Calibri" w:hAnsi="Calibri"/>
          <w:color w:val="333333"/>
          <w:sz w:val="21"/>
          <w:szCs w:val="21"/>
        </w:rPr>
        <w:t xml:space="preserve">Requests are managed through the Nexara IMS data subject request module and tracked to completion.</w:t>
      </w:r>
    </w:p>
    <w:p>
      <w:pPr>
        <w:pStyle w:val="Heading1"/>
        <w:pBdr>
          <w:bottom w:val="single" w:color="E8EFF7" w:sz="1"/>
        </w:pBdr>
        <w:spacing w:before="400" w:after="100"/>
      </w:pPr>
      <w:r>
        <w:rPr>
          <w:rFonts w:ascii="Calibri" w:cs="Calibri" w:eastAsia="Calibri" w:hAnsi="Calibri"/>
          <w:b/>
          <w:bCs/>
          <w:color w:val="1B3A5C"/>
          <w:sz w:val="28"/>
          <w:szCs w:val="28"/>
        </w:rPr>
        <w:t xml:space="preserve">6. Data Breach Notification</w:t>
      </w:r>
    </w:p>
    <w:p>
      <w:pPr>
        <w:spacing w:after="120" w:line="300"/>
      </w:pPr>
      <w:r>
        <w:rPr>
          <w:rFonts w:ascii="Calibri" w:cs="Calibri" w:eastAsia="Calibri" w:hAnsi="Calibri"/>
          <w:color w:val="333333"/>
          <w:sz w:val="21"/>
          <w:szCs w:val="21"/>
        </w:rPr>
        <w:t xml:space="preserve">In the event of a personal data breach:</w:t>
      </w:r>
    </w:p>
    <w:p>
      <w:pPr>
        <w:spacing w:after="120" w:line="300"/>
      </w:pPr>
      <w:r>
        <w:rPr>
          <w:rFonts w:ascii="Calibri" w:cs="Calibri" w:eastAsia="Calibri" w:hAnsi="Calibri"/>
          <w:color w:val="333333"/>
          <w:sz w:val="21"/>
          <w:szCs w:val="21"/>
        </w:rPr>
        <w:t xml:space="preserve">• The breach must be reported internally immediately to the DPO
• The DPO will assess the breach and determine if notification is required
• The ICO must be notified within 72 hours where the breach is likely to result in a risk to individuals' rights and freedoms
• Affected data subjects must be notified without undue delay where the breach is likely to result in a high risk to their rights and freedoms
• All breaches are logged in the Nexara IMS incident module regardless of severity</w:t>
      </w:r>
    </w:p>
    <w:p>
      <w:pPr>
        <w:pStyle w:val="Heading1"/>
        <w:pBdr>
          <w:bottom w:val="single" w:color="E8EFF7" w:sz="1"/>
        </w:pBdr>
        <w:spacing w:before="400" w:after="100"/>
      </w:pPr>
      <w:r>
        <w:rPr>
          <w:rFonts w:ascii="Calibri" w:cs="Calibri" w:eastAsia="Calibri" w:hAnsi="Calibri"/>
          <w:b/>
          <w:bCs/>
          <w:color w:val="1B3A5C"/>
          <w:sz w:val="28"/>
          <w:szCs w:val="28"/>
        </w:rPr>
        <w:t xml:space="preserve">7. Data Retention</w:t>
      </w:r>
    </w:p>
    <w:p>
      <w:pPr>
        <w:spacing w:after="120" w:line="300"/>
      </w:pPr>
      <w:r>
        <w:rPr>
          <w:rFonts w:ascii="Calibri" w:cs="Calibri" w:eastAsia="Calibri" w:hAnsi="Calibri"/>
          <w:color w:val="333333"/>
          <w:sz w:val="21"/>
          <w:szCs w:val="21"/>
        </w:rPr>
        <w:t xml:space="preserve">[COMPANY NAME] retains personal data only for as long as necessary for the purposes for which it was collected. Retention periods are defined in the Data Retention Schedule and enforced through the Nexara IMS data retention management module.</w:t>
      </w:r>
    </w:p>
    <w:p>
      <w:pPr>
        <w:spacing w:after="120" w:line="300"/>
      </w:pPr>
      <w:r>
        <w:rPr>
          <w:rFonts w:ascii="Calibri" w:cs="Calibri" w:eastAsia="Calibri" w:hAnsi="Calibri"/>
          <w:color w:val="333333"/>
          <w:sz w:val="21"/>
          <w:szCs w:val="21"/>
        </w:rPr>
        <w:t xml:space="preserve">When the retention period expires, data is securely deleted or anonymised.</w:t>
      </w:r>
    </w:p>
    <w:p>
      <w:pPr>
        <w:pStyle w:val="Heading1"/>
        <w:pBdr>
          <w:bottom w:val="single" w:color="E8EFF7" w:sz="1"/>
        </w:pBdr>
        <w:spacing w:before="400" w:after="100"/>
      </w:pPr>
      <w:r>
        <w:rPr>
          <w:rFonts w:ascii="Calibri" w:cs="Calibri" w:eastAsia="Calibri" w:hAnsi="Calibri"/>
          <w:b/>
          <w:bCs/>
          <w:color w:val="1B3A5C"/>
          <w:sz w:val="28"/>
          <w:szCs w:val="28"/>
        </w:rPr>
        <w:t xml:space="preserve">8. International Transfers</w:t>
      </w:r>
    </w:p>
    <w:p>
      <w:pPr>
        <w:spacing w:after="120" w:line="300"/>
      </w:pPr>
      <w:r>
        <w:rPr>
          <w:rFonts w:ascii="Calibri" w:cs="Calibri" w:eastAsia="Calibri" w:hAnsi="Calibri"/>
          <w:color w:val="333333"/>
          <w:sz w:val="21"/>
          <w:szCs w:val="21"/>
        </w:rPr>
        <w:t xml:space="preserve">Personal data shall not be transferred outside the UK unless adequate safeguards are in place, such as:</w:t>
      </w:r>
    </w:p>
    <w:p>
      <w:pPr>
        <w:spacing w:after="120" w:line="300"/>
      </w:pPr>
      <w:r>
        <w:rPr>
          <w:rFonts w:ascii="Calibri" w:cs="Calibri" w:eastAsia="Calibri" w:hAnsi="Calibri"/>
          <w:color w:val="333333"/>
          <w:sz w:val="21"/>
          <w:szCs w:val="21"/>
        </w:rPr>
        <w:t xml:space="preserve">• UK Adequacy Regulations
• Standard Contractual Clauses (SCCs)
• Binding Corporate Rules
• Explicit consent of the data subject</w:t>
      </w:r>
    </w:p>
    <w:p>
      <w:pPr>
        <w:pStyle w:val="Heading1"/>
        <w:pBdr>
          <w:bottom w:val="single" w:color="E8EFF7" w:sz="1"/>
        </w:pBdr>
        <w:spacing w:before="400" w:after="100"/>
      </w:pPr>
      <w:r>
        <w:rPr>
          <w:rFonts w:ascii="Calibri" w:cs="Calibri" w:eastAsia="Calibri" w:hAnsi="Calibri"/>
          <w:b/>
          <w:bCs/>
          <w:color w:val="1B3A5C"/>
          <w:sz w:val="28"/>
          <w:szCs w:val="28"/>
        </w:rPr>
        <w:t xml:space="preserve">9. Data Protection Officer</w:t>
      </w:r>
    </w:p>
    <w:p>
      <w:pPr>
        <w:spacing w:after="120" w:line="300"/>
      </w:pPr>
      <w:r>
        <w:rPr>
          <w:rFonts w:ascii="Calibri" w:cs="Calibri" w:eastAsia="Calibri" w:hAnsi="Calibri"/>
          <w:color w:val="333333"/>
          <w:sz w:val="21"/>
          <w:szCs w:val="21"/>
        </w:rPr>
        <w:t xml:space="preserve">The Data Protection Officer can be contacted at:</w:t>
      </w:r>
    </w:p>
    <w:p>
      <w:pPr>
        <w:spacing w:after="120" w:line="300"/>
      </w:pPr>
      <w:r>
        <w:rPr>
          <w:rFonts w:ascii="Calibri" w:cs="Calibri" w:eastAsia="Calibri" w:hAnsi="Calibri"/>
          <w:color w:val="333333"/>
          <w:sz w:val="21"/>
          <w:szCs w:val="21"/>
        </w:rPr>
        <w:t xml:space="preserve">Name: [DPO Name]
Email: [dpo@company.com]
Phone: [Phone Number]
Address: [Address]</w:t>
      </w:r>
    </w:p>
    <w:p>
      <w:pPr>
        <w:pStyle w:val="Heading1"/>
        <w:pBdr>
          <w:bottom w:val="single" w:color="E8EFF7" w:sz="1"/>
        </w:pBdr>
        <w:spacing w:before="400" w:after="100"/>
      </w:pPr>
      <w:r>
        <w:rPr>
          <w:rFonts w:ascii="Calibri" w:cs="Calibri" w:eastAsia="Calibri" w:hAnsi="Calibri"/>
          <w:b/>
          <w:bCs/>
          <w:color w:val="1B3A5C"/>
          <w:sz w:val="28"/>
          <w:szCs w:val="28"/>
        </w:rPr>
        <w:t xml:space="preserve">10. Related Documents</w:t>
      </w:r>
    </w:p>
    <w:p>
      <w:pPr>
        <w:pStyle w:val="ListParagraph"/>
        <w:numPr>
          <w:ilvl w:val="0"/>
          <w:numId w:val="1"/>
        </w:numPr>
        <w:spacing w:after="60" w:line="280"/>
      </w:pPr>
      <w:r>
        <w:rPr>
          <w:rFonts w:ascii="Calibri" w:cs="Calibri" w:eastAsia="Calibri" w:hAnsi="Calibri"/>
          <w:color w:val="333333"/>
          <w:sz w:val="21"/>
          <w:szCs w:val="21"/>
        </w:rPr>
        <w:t xml:space="preserve">FRM-014: Data Processing Activity Record (ROPA)</w:t>
      </w:r>
    </w:p>
    <w:p>
      <w:pPr>
        <w:pStyle w:val="ListParagraph"/>
        <w:numPr>
          <w:ilvl w:val="0"/>
          <w:numId w:val="1"/>
        </w:numPr>
        <w:spacing w:after="60" w:line="280"/>
      </w:pPr>
      <w:r>
        <w:rPr>
          <w:rFonts w:ascii="Calibri" w:cs="Calibri" w:eastAsia="Calibri" w:hAnsi="Calibri"/>
          <w:color w:val="333333"/>
          <w:sz w:val="21"/>
          <w:szCs w:val="21"/>
        </w:rPr>
        <w:t xml:space="preserve">POL-004: Information Security Policy</w:t>
      </w:r>
    </w:p>
    <w:p>
      <w:pPr>
        <w:pStyle w:val="ListParagraph"/>
        <w:numPr>
          <w:ilvl w:val="0"/>
          <w:numId w:val="1"/>
        </w:numPr>
        <w:spacing w:after="60" w:line="280"/>
      </w:pPr>
      <w:r>
        <w:rPr>
          <w:rFonts w:ascii="Calibri" w:cs="Calibri" w:eastAsia="Calibri" w:hAnsi="Calibri"/>
          <w:color w:val="333333"/>
          <w:sz w:val="21"/>
          <w:szCs w:val="21"/>
        </w:rPr>
        <w:t xml:space="preserve">PRO-014: Information Security Incident Response Procedure</w:t>
      </w:r>
    </w:p>
    <w:p>
      <w:pPr>
        <w:pStyle w:val="ListParagraph"/>
        <w:numPr>
          <w:ilvl w:val="0"/>
          <w:numId w:val="1"/>
        </w:numPr>
        <w:spacing w:after="60" w:line="280"/>
      </w:pPr>
      <w:r>
        <w:rPr>
          <w:rFonts w:ascii="Calibri" w:cs="Calibri" w:eastAsia="Calibri" w:hAnsi="Calibri"/>
          <w:color w:val="333333"/>
          <w:sz w:val="21"/>
          <w:szCs w:val="21"/>
        </w:rPr>
        <w:t xml:space="preserve">Data Retention Schedule</w:t>
      </w:r>
    </w:p>
    <w:p>
      <w:pPr>
        <w:pStyle w:val="ListParagraph"/>
        <w:numPr>
          <w:ilvl w:val="0"/>
          <w:numId w:val="1"/>
        </w:numPr>
        <w:spacing w:after="60" w:line="280"/>
      </w:pPr>
      <w:r>
        <w:rPr>
          <w:rFonts w:ascii="Calibri" w:cs="Calibri" w:eastAsia="Calibri" w:hAnsi="Calibri"/>
          <w:color w:val="333333"/>
          <w:sz w:val="21"/>
          <w:szCs w:val="21"/>
        </w:rPr>
        <w:t xml:space="preserve">Privacy Notices</w:t>
      </w:r>
    </w:p>
    <w:p>
      <w:pPr>
        <w:pStyle w:val="Heading1"/>
        <w:pBdr>
          <w:bottom w:val="single" w:color="E8EFF7" w:sz="1"/>
        </w:pBdr>
        <w:spacing w:before="400" w:after="100"/>
      </w:pPr>
      <w:r>
        <w:rPr>
          <w:rFonts w:ascii="Calibri" w:cs="Calibri" w:eastAsia="Calibri" w:hAnsi="Calibri"/>
          <w:b/>
          <w:bCs/>
          <w:color w:val="1B3A5C"/>
          <w:sz w:val="28"/>
          <w:szCs w:val="28"/>
        </w:rPr>
        <w:t xml:space="preserve">11. Approval</w:t>
      </w:r>
    </w:p>
    <w:p>
      <w:pPr>
        <w:spacing w:after="120" w:line="300"/>
      </w:pPr>
      <w:r>
        <w:rPr>
          <w:rFonts w:ascii="Calibri" w:cs="Calibri" w:eastAsia="Calibri" w:hAnsi="Calibri"/>
          <w:color w:val="333333"/>
          <w:sz w:val="21"/>
          <w:szCs w:val="21"/>
        </w:rPr>
        <w:t xml:space="preserve">Signature: ________________________    Date: [DD/MM/YYYY]
Name: [Managing Director Name]
Title: [Managing Director / CEO]</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POL-007  |  v1.0  |  UK GDPR / Data Protection Act 2018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2026-02-16T14:59:22.846Z</dcterms:created>
  <dcterms:modified xsi:type="dcterms:W3CDTF">2026-02-16T14:59:22.846Z</dcterms:modified>
</cp:coreProperties>
</file>

<file path=docProps/custom.xml><?xml version="1.0" encoding="utf-8"?>
<Properties xmlns="http://schemas.openxmlformats.org/officeDocument/2006/custom-properties" xmlns:vt="http://schemas.openxmlformats.org/officeDocument/2006/docPropsVTypes"/>
</file>