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Internal Audit Procedure</w:t>
      </w:r>
    </w:p>
    <w:p>
      <w:pPr>
        <w:spacing w:after="800"/>
        <w:jc w:val="center"/>
      </w:pPr>
      <w:r>
        <w:rPr>
          <w:rFonts w:ascii="Calibri" w:cs="Calibri" w:eastAsia="Calibri" w:hAnsi="Calibri"/>
          <w:color w:val="666666"/>
          <w:sz w:val="24"/>
          <w:szCs w:val="24"/>
        </w:rPr>
        <w:t xml:space="preserve">ISO 9001/14001/45001 Clause 9.2</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PRO-002</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[Quality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[Managing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This procedure defines the process for planning, conducting, reporting, and following up internal audits across the Integrated Management System of [COMPANY NAME]. Internal audits verify that the IMS conforms to planned arrangements, the requirements of ISO 9001, ISO 14001, ISO 45001, and other applicable standards, and is effectively implemented and maintained.</w:t>
      </w:r>
    </w:p>
    <w:p>
      <w:pPr>
        <w:pStyle w:val="Heading1"/>
        <w:pBdr>
          <w:bottom w:val="single" w:color="E8EFF7" w:sz="1"/>
        </w:pBdr>
        <w:spacing w:before="400" w:after="100"/>
      </w:pPr>
      <w:r>
        <w:rPr>
          <w:rFonts w:ascii="Calibri" w:cs="Calibri" w:eastAsia="Calibri" w:hAnsi="Calibri"/>
          <w:b/>
          <w:bCs/>
          <w:color w:val="1B3A5C"/>
          <w:sz w:val="28"/>
          <w:szCs w:val="28"/>
        </w:rPr>
        <w:t xml:space="preserve">2. Scope</w:t>
      </w:r>
    </w:p>
    <w:p>
      <w:pPr>
        <w:spacing w:after="120" w:line="300"/>
      </w:pPr>
      <w:r>
        <w:rPr>
          <w:rFonts w:ascii="Calibri" w:cs="Calibri" w:eastAsia="Calibri" w:hAnsi="Calibri"/>
          <w:color w:val="333333"/>
          <w:sz w:val="21"/>
          <w:szCs w:val="21"/>
        </w:rPr>
        <w:t xml:space="preserve">This procedure covers all internal audits of the IMS including system audits, process audits, product/service audits, and compliance audits. It applies to all departments, processes, and sites within the scope of the certified management system.</w:t>
      </w:r>
    </w:p>
    <w:p>
      <w:pPr>
        <w:pStyle w:val="Heading1"/>
        <w:pBdr>
          <w:bottom w:val="single" w:color="E8EFF7" w:sz="1"/>
        </w:pBdr>
        <w:spacing w:before="400" w:after="100"/>
      </w:pPr>
      <w:r>
        <w:rPr>
          <w:rFonts w:ascii="Calibri" w:cs="Calibri" w:eastAsia="Calibri" w:hAnsi="Calibri"/>
          <w:b/>
          <w:bCs/>
          <w:color w:val="1B3A5C"/>
          <w:sz w:val="28"/>
          <w:szCs w:val="28"/>
        </w:rPr>
        <w:t xml:space="preserve">3. Audit Programme</w:t>
      </w:r>
    </w:p>
    <w:p>
      <w:pPr>
        <w:spacing w:after="120" w:line="300"/>
      </w:pPr>
      <w:r>
        <w:rPr>
          <w:rFonts w:ascii="Calibri" w:cs="Calibri" w:eastAsia="Calibri" w:hAnsi="Calibri"/>
          <w:color w:val="333333"/>
          <w:sz w:val="21"/>
          <w:szCs w:val="21"/>
        </w:rPr>
        <w:t xml:space="preserve">The [Quality Manager] shall establish an annual audit programme (PLN-001) that:</w:t>
      </w:r>
    </w:p>
    <w:p>
      <w:pPr>
        <w:spacing w:after="120" w:line="300"/>
      </w:pPr>
      <w:r>
        <w:rPr>
          <w:rFonts w:ascii="Calibri" w:cs="Calibri" w:eastAsia="Calibri" w:hAnsi="Calibri"/>
          <w:color w:val="333333"/>
          <w:sz w:val="21"/>
          <w:szCs w:val="21"/>
        </w:rPr>
        <w:t xml:space="preserve">a) Covers all IMS processes and all ISO standard clauses over a 12-month cycle
b) Considers the importance of processes, previous audit results, and areas of change
c) Assigns competent lead auditors and audit team members
d) Defines the scope, criteria, and method for each audit
e) Is approved by top management and communicated to all relevant parties
f) Is flexible to allow additional audits triggered by non-conformances, incidents, or significant changes</w:t>
      </w:r>
    </w:p>
    <w:p>
      <w:pPr>
        <w:pStyle w:val="Heading1"/>
        <w:pBdr>
          <w:bottom w:val="single" w:color="E8EFF7" w:sz="1"/>
        </w:pBdr>
        <w:spacing w:before="400" w:after="100"/>
      </w:pPr>
      <w:r>
        <w:rPr>
          <w:rFonts w:ascii="Calibri" w:cs="Calibri" w:eastAsia="Calibri" w:hAnsi="Calibri"/>
          <w:b/>
          <w:bCs/>
          <w:color w:val="1B3A5C"/>
          <w:sz w:val="28"/>
          <w:szCs w:val="28"/>
        </w:rPr>
        <w:t xml:space="preserve">4. Auditor Competence</w:t>
      </w:r>
    </w:p>
    <w:p>
      <w:pPr>
        <w:spacing w:after="120" w:line="300"/>
      </w:pPr>
      <w:r>
        <w:rPr>
          <w:rFonts w:ascii="Calibri" w:cs="Calibri" w:eastAsia="Calibri" w:hAnsi="Calibri"/>
          <w:color w:val="333333"/>
          <w:sz w:val="21"/>
          <w:szCs w:val="21"/>
        </w:rPr>
        <w:t xml:space="preserve">Internal auditors shall:</w:t>
      </w:r>
    </w:p>
    <w:p>
      <w:pPr>
        <w:spacing w:after="120" w:line="300"/>
      </w:pPr>
      <w:r>
        <w:rPr>
          <w:rFonts w:ascii="Calibri" w:cs="Calibri" w:eastAsia="Calibri" w:hAnsi="Calibri"/>
          <w:color w:val="333333"/>
          <w:sz w:val="21"/>
          <w:szCs w:val="21"/>
        </w:rPr>
        <w:t xml:space="preserve">• Have completed an approved lead auditor or internal auditor training course
• Have knowledge of the relevant ISO standards and IMS requirements
• Be independent of the area being audited (auditors shall not audit their own work)
• Demonstrate objectivity and impartiality
• Maintain competence through continuing professional development</w:t>
      </w:r>
    </w:p>
    <w:p>
      <w:pPr>
        <w:spacing w:after="120" w:line="300"/>
      </w:pPr>
      <w:r>
        <w:rPr>
          <w:rFonts w:ascii="Calibri" w:cs="Calibri" w:eastAsia="Calibri" w:hAnsi="Calibri"/>
          <w:color w:val="333333"/>
          <w:sz w:val="21"/>
          <w:szCs w:val="21"/>
        </w:rPr>
        <w:t xml:space="preserve">A register of qualified auditors is maintained by the [Quality Manager].</w:t>
      </w:r>
    </w:p>
    <w:p>
      <w:pPr>
        <w:pStyle w:val="Heading1"/>
        <w:pBdr>
          <w:bottom w:val="single" w:color="E8EFF7" w:sz="1"/>
        </w:pBdr>
        <w:spacing w:before="400" w:after="100"/>
      </w:pPr>
      <w:r>
        <w:rPr>
          <w:rFonts w:ascii="Calibri" w:cs="Calibri" w:eastAsia="Calibri" w:hAnsi="Calibri"/>
          <w:b/>
          <w:bCs/>
          <w:color w:val="1B3A5C"/>
          <w:sz w:val="28"/>
          <w:szCs w:val="28"/>
        </w:rPr>
        <w:t xml:space="preserve">5. Audit Execution</w:t>
      </w:r>
    </w:p>
    <w:p>
      <w:pPr>
        <w:spacing w:after="120" w:line="300"/>
      </w:pPr>
      <w:r>
        <w:rPr>
          <w:rFonts w:ascii="Calibri" w:cs="Calibri" w:eastAsia="Calibri" w:hAnsi="Calibri"/>
          <w:color w:val="333333"/>
          <w:sz w:val="21"/>
          <w:szCs w:val="21"/>
        </w:rPr>
        <w:t xml:space="preserve">5.1 Preparation:
• Review previous audit reports, CAPAs, and relevant documented information
• Prepare the audit checklist (FRM-004) tailored to the scope
• Notify the auditee of the date, scope, and schedule at least 2 weeks in advance</w:t>
      </w:r>
    </w:p>
    <w:p>
      <w:pPr>
        <w:spacing w:after="120" w:line="300"/>
      </w:pPr>
      <w:r>
        <w:rPr>
          <w:rFonts w:ascii="Calibri" w:cs="Calibri" w:eastAsia="Calibri" w:hAnsi="Calibri"/>
          <w:color w:val="333333"/>
          <w:sz w:val="21"/>
          <w:szCs w:val="21"/>
        </w:rPr>
        <w:t xml:space="preserve">5.2 Opening Meeting:
• Confirm scope, criteria, and schedule
• Explain the audit process and finding classification
• Agree logistics and escorts if required</w:t>
      </w:r>
    </w:p>
    <w:p>
      <w:pPr>
        <w:spacing w:after="120" w:line="300"/>
      </w:pPr>
      <w:r>
        <w:rPr>
          <w:rFonts w:ascii="Calibri" w:cs="Calibri" w:eastAsia="Calibri" w:hAnsi="Calibri"/>
          <w:color w:val="333333"/>
          <w:sz w:val="21"/>
          <w:szCs w:val="21"/>
        </w:rPr>
        <w:t xml:space="preserve">5.3 Evidence Gathering:
• Interview personnel at all levels
• Observe processes and activities
• Review documents, records, and data
• Use sampling methods appropriate to the scope</w:t>
      </w:r>
    </w:p>
    <w:p>
      <w:pPr>
        <w:spacing w:after="120" w:line="300"/>
      </w:pPr>
      <w:r>
        <w:rPr>
          <w:rFonts w:ascii="Calibri" w:cs="Calibri" w:eastAsia="Calibri" w:hAnsi="Calibri"/>
          <w:color w:val="333333"/>
          <w:sz w:val="21"/>
          <w:szCs w:val="21"/>
        </w:rPr>
        <w:t xml:space="preserve">5.4 Closing Meeting:
• Present findings and observations
• Agree factual accuracy of findings
• Confirm timescales for corrective action responses</w:t>
      </w:r>
    </w:p>
    <w:p>
      <w:pPr>
        <w:pStyle w:val="Heading1"/>
        <w:pBdr>
          <w:bottom w:val="single" w:color="E8EFF7" w:sz="1"/>
        </w:pBdr>
        <w:spacing w:before="400" w:after="100"/>
      </w:pPr>
      <w:r>
        <w:rPr>
          <w:rFonts w:ascii="Calibri" w:cs="Calibri" w:eastAsia="Calibri" w:hAnsi="Calibri"/>
          <w:b/>
          <w:bCs/>
          <w:color w:val="1B3A5C"/>
          <w:sz w:val="28"/>
          <w:szCs w:val="28"/>
        </w:rPr>
        <w:t xml:space="preserve">6. Finding Classification</w:t>
      </w:r>
    </w:p>
    <w:p>
      <w:pPr>
        <w:spacing w:after="120" w:line="300"/>
      </w:pPr>
      <w:r>
        <w:rPr>
          <w:rFonts w:ascii="Calibri" w:cs="Calibri" w:eastAsia="Calibri" w:hAnsi="Calibri"/>
          <w:color w:val="333333"/>
          <w:sz w:val="21"/>
          <w:szCs w:val="21"/>
        </w:rPr>
        <w:t xml:space="preserve">Findings are classified as:</w:t>
      </w:r>
    </w:p>
    <w:p>
      <w:pPr>
        <w:spacing w:after="120" w:line="300"/>
      </w:pPr>
      <w:r>
        <w:rPr>
          <w:rFonts w:ascii="Calibri" w:cs="Calibri" w:eastAsia="Calibri" w:hAnsi="Calibri"/>
          <w:color w:val="333333"/>
          <w:sz w:val="21"/>
          <w:szCs w:val="21"/>
        </w:rPr>
        <w:t xml:space="preserve">• Major Non-Conformity: Absence or total breakdown of a system to meet a requirement, or a situation that raises significant doubt about the ability to deliver conforming products/services. Requires immediate corrective action.</w:t>
      </w:r>
    </w:p>
    <w:p>
      <w:pPr>
        <w:spacing w:after="120" w:line="300"/>
      </w:pPr>
      <w:r>
        <w:rPr>
          <w:rFonts w:ascii="Calibri" w:cs="Calibri" w:eastAsia="Calibri" w:hAnsi="Calibri"/>
          <w:color w:val="333333"/>
          <w:sz w:val="21"/>
          <w:szCs w:val="21"/>
        </w:rPr>
        <w:t xml:space="preserve">• Minor Non-Conformity: A single observed lapse in meeting a requirement that does not represent a systemic failure. Requires corrective action within agreed timescale.</w:t>
      </w:r>
    </w:p>
    <w:p>
      <w:pPr>
        <w:spacing w:after="120" w:line="300"/>
      </w:pPr>
      <w:r>
        <w:rPr>
          <w:rFonts w:ascii="Calibri" w:cs="Calibri" w:eastAsia="Calibri" w:hAnsi="Calibri"/>
          <w:color w:val="333333"/>
          <w:sz w:val="21"/>
          <w:szCs w:val="21"/>
        </w:rPr>
        <w:t xml:space="preserve">• Observation (OFI — Opportunity for Improvement): A situation that is not a non-conformity but where improvement would strengthen the system.</w:t>
      </w:r>
    </w:p>
    <w:p>
      <w:pPr>
        <w:spacing w:after="120" w:line="300"/>
      </w:pPr>
      <w:r>
        <w:rPr>
          <w:rFonts w:ascii="Calibri" w:cs="Calibri" w:eastAsia="Calibri" w:hAnsi="Calibri"/>
          <w:color w:val="333333"/>
          <w:sz w:val="21"/>
          <w:szCs w:val="21"/>
        </w:rPr>
        <w:t xml:space="preserve">• Conformity: Evidence demonstrates the requirement is met.</w:t>
      </w:r>
    </w:p>
    <w:p>
      <w:pPr>
        <w:pStyle w:val="Heading1"/>
        <w:pBdr>
          <w:bottom w:val="single" w:color="E8EFF7" w:sz="1"/>
        </w:pBdr>
        <w:spacing w:before="400" w:after="100"/>
      </w:pPr>
      <w:r>
        <w:rPr>
          <w:rFonts w:ascii="Calibri" w:cs="Calibri" w:eastAsia="Calibri" w:hAnsi="Calibri"/>
          <w:b/>
          <w:bCs/>
          <w:color w:val="1B3A5C"/>
          <w:sz w:val="28"/>
          <w:szCs w:val="28"/>
        </w:rPr>
        <w:t xml:space="preserve">7. Audit Reporting</w:t>
      </w:r>
    </w:p>
    <w:p>
      <w:pPr>
        <w:spacing w:after="120" w:line="300"/>
      </w:pPr>
      <w:r>
        <w:rPr>
          <w:rFonts w:ascii="Calibri" w:cs="Calibri" w:eastAsia="Calibri" w:hAnsi="Calibri"/>
          <w:color w:val="333333"/>
          <w:sz w:val="21"/>
          <w:szCs w:val="21"/>
        </w:rPr>
        <w:t xml:space="preserve">The lead auditor shall produce an audit report within 5 working days containing:</w:t>
      </w:r>
    </w:p>
    <w:p>
      <w:pPr>
        <w:spacing w:after="120" w:line="300"/>
      </w:pPr>
      <w:r>
        <w:rPr>
          <w:rFonts w:ascii="Calibri" w:cs="Calibri" w:eastAsia="Calibri" w:hAnsi="Calibri"/>
          <w:color w:val="333333"/>
          <w:sz w:val="21"/>
          <w:szCs w:val="21"/>
        </w:rPr>
        <w:t xml:space="preserve">• Audit reference number and date
• Scope and criteria
• Audit team members and auditees
• Summary of findings by classification
• Detailed finding descriptions with evidence references
• Positive observations and good practice identified
• Overall audit conclusion and recommendation</w:t>
      </w:r>
    </w:p>
    <w:p>
      <w:pPr>
        <w:spacing w:after="120" w:line="300"/>
      </w:pPr>
      <w:r>
        <w:rPr>
          <w:rFonts w:ascii="Calibri" w:cs="Calibri" w:eastAsia="Calibri" w:hAnsi="Calibri"/>
          <w:color w:val="333333"/>
          <w:sz w:val="21"/>
          <w:szCs w:val="21"/>
        </w:rPr>
        <w:t xml:space="preserve">Reports are stored in the Nexara IMS audit management module.</w:t>
      </w:r>
    </w:p>
    <w:p>
      <w:pPr>
        <w:pStyle w:val="Heading1"/>
        <w:pBdr>
          <w:bottom w:val="single" w:color="E8EFF7" w:sz="1"/>
        </w:pBdr>
        <w:spacing w:before="400" w:after="100"/>
      </w:pPr>
      <w:r>
        <w:rPr>
          <w:rFonts w:ascii="Calibri" w:cs="Calibri" w:eastAsia="Calibri" w:hAnsi="Calibri"/>
          <w:b/>
          <w:bCs/>
          <w:color w:val="1B3A5C"/>
          <w:sz w:val="28"/>
          <w:szCs w:val="28"/>
        </w:rPr>
        <w:t xml:space="preserve">8. Corrective Action Follow-Up</w:t>
      </w:r>
    </w:p>
    <w:p>
      <w:pPr>
        <w:spacing w:after="120" w:line="300"/>
      </w:pPr>
      <w:r>
        <w:rPr>
          <w:rFonts w:ascii="Calibri" w:cs="Calibri" w:eastAsia="Calibri" w:hAnsi="Calibri"/>
          <w:color w:val="333333"/>
          <w:sz w:val="21"/>
          <w:szCs w:val="21"/>
        </w:rPr>
        <w:t xml:space="preserve">For each non-conformity:</w:t>
      </w:r>
    </w:p>
    <w:p>
      <w:pPr>
        <w:spacing w:after="120" w:line="300"/>
      </w:pPr>
      <w:r>
        <w:rPr>
          <w:rFonts w:ascii="Calibri" w:cs="Calibri" w:eastAsia="Calibri" w:hAnsi="Calibri"/>
          <w:color w:val="333333"/>
          <w:sz w:val="21"/>
          <w:szCs w:val="21"/>
        </w:rPr>
        <w:t xml:space="preserve">a) The auditee provides root cause analysis and corrective action plan within 10 working days (major) or 30 working days (minor)
b) Actions are recorded in the Nexara IMS CAPA module
c) The lead auditor verifies implementation and effectiveness
d) Verification is recorded and the finding is closed
e) Unresolved findings are escalated to the [Quality Manager] and reported at management review</w:t>
      </w:r>
    </w:p>
    <w:p>
      <w:pPr>
        <w:pStyle w:val="Heading1"/>
        <w:pBdr>
          <w:bottom w:val="single" w:color="E8EFF7" w:sz="1"/>
        </w:pBdr>
        <w:spacing w:before="400" w:after="100"/>
      </w:pPr>
      <w:r>
        <w:rPr>
          <w:rFonts w:ascii="Calibri" w:cs="Calibri" w:eastAsia="Calibri" w:hAnsi="Calibri"/>
          <w:b/>
          <w:bCs/>
          <w:color w:val="1B3A5C"/>
          <w:sz w:val="28"/>
          <w:szCs w:val="28"/>
        </w:rPr>
        <w:t xml:space="preserve">9. Related Documents</w:t>
      </w:r>
    </w:p>
    <w:p>
      <w:pPr>
        <w:pStyle w:val="ListParagraph"/>
        <w:numPr>
          <w:ilvl w:val="0"/>
          <w:numId w:val="1"/>
        </w:numPr>
        <w:spacing w:after="60" w:line="280"/>
      </w:pPr>
      <w:r>
        <w:rPr>
          <w:rFonts w:ascii="Calibri" w:cs="Calibri" w:eastAsia="Calibri" w:hAnsi="Calibri"/>
          <w:color w:val="333333"/>
          <w:sz w:val="21"/>
          <w:szCs w:val="21"/>
        </w:rPr>
        <w:t xml:space="preserve">PLN-001: Internal Audit Programme</w:t>
      </w:r>
    </w:p>
    <w:p>
      <w:pPr>
        <w:pStyle w:val="ListParagraph"/>
        <w:numPr>
          <w:ilvl w:val="0"/>
          <w:numId w:val="1"/>
        </w:numPr>
        <w:spacing w:after="60" w:line="280"/>
      </w:pPr>
      <w:r>
        <w:rPr>
          <w:rFonts w:ascii="Calibri" w:cs="Calibri" w:eastAsia="Calibri" w:hAnsi="Calibri"/>
          <w:color w:val="333333"/>
          <w:sz w:val="21"/>
          <w:szCs w:val="21"/>
        </w:rPr>
        <w:t xml:space="preserve">FRM-004: Internal Audit Checklist</w:t>
      </w:r>
    </w:p>
    <w:p>
      <w:pPr>
        <w:pStyle w:val="ListParagraph"/>
        <w:numPr>
          <w:ilvl w:val="0"/>
          <w:numId w:val="1"/>
        </w:numPr>
        <w:spacing w:after="60" w:line="280"/>
      </w:pPr>
      <w:r>
        <w:rPr>
          <w:rFonts w:ascii="Calibri" w:cs="Calibri" w:eastAsia="Calibri" w:hAnsi="Calibri"/>
          <w:color w:val="333333"/>
          <w:sz w:val="21"/>
          <w:szCs w:val="21"/>
        </w:rPr>
        <w:t xml:space="preserve">PRO-003: Corrective Action &amp; CAPA Procedure</w:t>
      </w:r>
    </w:p>
    <w:p>
      <w:pPr>
        <w:pStyle w:val="ListParagraph"/>
        <w:numPr>
          <w:ilvl w:val="0"/>
          <w:numId w:val="1"/>
        </w:numPr>
        <w:spacing w:after="60" w:line="280"/>
      </w:pPr>
      <w:r>
        <w:rPr>
          <w:rFonts w:ascii="Calibri" w:cs="Calibri" w:eastAsia="Calibri" w:hAnsi="Calibri"/>
          <w:color w:val="333333"/>
          <w:sz w:val="21"/>
          <w:szCs w:val="21"/>
        </w:rPr>
        <w:t xml:space="preserve">RPT-001: Management Review Report Template</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PRO-002  |  v1.0  |  ISO 9001/14001/45001 Clause 9.2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2026-02-16T15:24:25.986Z</dcterms:created>
  <dcterms:modified xsi:type="dcterms:W3CDTF">2026-02-16T15:24:25.986Z</dcterms:modified>
</cp:coreProperties>
</file>

<file path=docProps/custom.xml><?xml version="1.0" encoding="utf-8"?>
<Properties xmlns="http://schemas.openxmlformats.org/officeDocument/2006/custom-properties" xmlns:vt="http://schemas.openxmlformats.org/officeDocument/2006/docPropsVTypes"/>
</file>