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Permit to Work Procedure</w:t>
      </w:r>
    </w:p>
    <w:p>
      <w:pPr>
        <w:spacing w:after="800"/>
        <w:jc w:val="center"/>
      </w:pPr>
      <w:r>
        <w:rPr>
          <w:rFonts w:ascii="Calibri" w:cs="Calibri" w:eastAsia="Calibri" w:hAnsi="Calibri"/>
          <w:color w:val="666666"/>
          <w:sz w:val="24"/>
          <w:szCs w:val="24"/>
        </w:rPr>
        <w:t xml:space="preserve">ISO 45001:2018 / H&amp;S Best Practice</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PRO-012</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[H&amp;S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procedure controls high-risk work activities through a formal permit to work (PTW) system at [COMPANY NAME], ensuring that hazards are identified, precautions are taken, and work is authorised before commencement.</w:t>
      </w:r>
    </w:p>
    <w:p>
      <w:pPr>
        <w:pStyle w:val="Heading1"/>
        <w:pBdr>
          <w:bottom w:val="single" w:color="E8EFF7" w:sz="1"/>
        </w:pBdr>
        <w:spacing w:before="400" w:after="100"/>
      </w:pPr>
      <w:r>
        <w:rPr>
          <w:rFonts w:ascii="Calibri" w:cs="Calibri" w:eastAsia="Calibri" w:hAnsi="Calibri"/>
          <w:b/>
          <w:bCs/>
          <w:color w:val="1B3A5C"/>
          <w:sz w:val="28"/>
          <w:szCs w:val="28"/>
        </w:rPr>
        <w:t xml:space="preserve">2. PTW Categories</w:t>
      </w:r>
    </w:p>
    <w:p>
      <w:pPr>
        <w:spacing w:after="120" w:line="300"/>
      </w:pPr>
      <w:r>
        <w:rPr>
          <w:rFonts w:ascii="Calibri" w:cs="Calibri" w:eastAsia="Calibri" w:hAnsi="Calibri"/>
          <w:color w:val="333333"/>
          <w:sz w:val="21"/>
          <w:szCs w:val="21"/>
        </w:rPr>
        <w:t xml:space="preserve">A permit to work is required for the following activities:</w:t>
      </w:r>
    </w:p>
    <w:p>
      <w:pPr>
        <w:spacing w:after="120" w:line="300"/>
      </w:pPr>
      <w:r>
        <w:rPr>
          <w:rFonts w:ascii="Calibri" w:cs="Calibri" w:eastAsia="Calibri" w:hAnsi="Calibri"/>
          <w:color w:val="333333"/>
          <w:sz w:val="21"/>
          <w:szCs w:val="21"/>
        </w:rPr>
        <w:t xml:space="preserve">• Hot Work: Welding, cutting, grinding, brazing, or any work producing sparks, flames, or heat
• Confined Space Entry: Work in any enclosed or partially enclosed space with limited access/egress
• Working at Height: Work at or above 2 metres, or at any height where a fall could cause injury
• Electrical Work: Work on or near live electrical systems or equipment
• Excavation: Any ground-breaking, trenching, or digging activities
• Lifting Operations: Use of cranes, hoists, or lifting equipment for non-routine lifts
• Work Near Water: Activities adjacent to or over water
• Asbestos-Related Work: Any disturbance of asbestos-containing materials
• Breaking Into Plant/Pipework: Opening systems that may contain hazardous substances</w:t>
      </w:r>
    </w:p>
    <w:p>
      <w:pPr>
        <w:pStyle w:val="Heading1"/>
        <w:pBdr>
          <w:bottom w:val="single" w:color="E8EFF7" w:sz="1"/>
        </w:pBdr>
        <w:spacing w:before="400" w:after="100"/>
      </w:pPr>
      <w:r>
        <w:rPr>
          <w:rFonts w:ascii="Calibri" w:cs="Calibri" w:eastAsia="Calibri" w:hAnsi="Calibri"/>
          <w:b/>
          <w:bCs/>
          <w:color w:val="1B3A5C"/>
          <w:sz w:val="28"/>
          <w:szCs w:val="28"/>
        </w:rPr>
        <w:t xml:space="preserve">3. Roles &amp; Responsibilities</w:t>
      </w:r>
    </w:p>
    <w:p>
      <w:pPr>
        <w:spacing w:after="120" w:line="300"/>
      </w:pPr>
      <w:r>
        <w:rPr>
          <w:rFonts w:ascii="Calibri" w:cs="Calibri" w:eastAsia="Calibri" w:hAnsi="Calibri"/>
          <w:color w:val="333333"/>
          <w:sz w:val="21"/>
          <w:szCs w:val="21"/>
        </w:rPr>
        <w:t xml:space="preserve">Permit Issuer (Authorised Person): Senior person trained and authorised to assess hazards and issue permits. Maintains the permit log.</w:t>
      </w:r>
    </w:p>
    <w:p>
      <w:pPr>
        <w:spacing w:after="120" w:line="300"/>
      </w:pPr>
      <w:r>
        <w:rPr>
          <w:rFonts w:ascii="Calibri" w:cs="Calibri" w:eastAsia="Calibri" w:hAnsi="Calibri"/>
          <w:color w:val="333333"/>
          <w:sz w:val="21"/>
          <w:szCs w:val="21"/>
        </w:rPr>
        <w:t xml:space="preserve">Permit Receiver (Responsible Person): Person in charge of the work who accepts the permit conditions and ensures all precautions are maintained.</w:t>
      </w:r>
    </w:p>
    <w:p>
      <w:pPr>
        <w:spacing w:after="120" w:line="300"/>
      </w:pPr>
      <w:r>
        <w:rPr>
          <w:rFonts w:ascii="Calibri" w:cs="Calibri" w:eastAsia="Calibri" w:hAnsi="Calibri"/>
          <w:color w:val="333333"/>
          <w:sz w:val="21"/>
          <w:szCs w:val="21"/>
        </w:rPr>
        <w:t xml:space="preserve">Workers: Follow all permit conditions, report any changes or concerns, stop work if conditions change.</w:t>
      </w:r>
    </w:p>
    <w:p>
      <w:pPr>
        <w:pStyle w:val="Heading1"/>
        <w:pBdr>
          <w:bottom w:val="single" w:color="E8EFF7" w:sz="1"/>
        </w:pBdr>
        <w:spacing w:before="400" w:after="100"/>
      </w:pPr>
      <w:r>
        <w:rPr>
          <w:rFonts w:ascii="Calibri" w:cs="Calibri" w:eastAsia="Calibri" w:hAnsi="Calibri"/>
          <w:b/>
          <w:bCs/>
          <w:color w:val="1B3A5C"/>
          <w:sz w:val="28"/>
          <w:szCs w:val="28"/>
        </w:rPr>
        <w:t xml:space="preserve">4. Permit Process</w:t>
      </w:r>
    </w:p>
    <w:p>
      <w:pPr>
        <w:spacing w:after="120" w:line="300"/>
      </w:pPr>
      <w:r>
        <w:rPr>
          <w:rFonts w:ascii="Calibri" w:cs="Calibri" w:eastAsia="Calibri" w:hAnsi="Calibri"/>
          <w:color w:val="333333"/>
          <w:sz w:val="21"/>
          <w:szCs w:val="21"/>
        </w:rPr>
        <w:t xml:space="preserve">a) Permit Receiver completes FRM-006 with work description, location, hazards, and proposed precautions
b) Permit Issuer reviews the assessment, conducts site inspection, and verifies precautions
c) Both sign the permit — work may commence
d) Permit is displayed at the work location
e) Permit validity is limited (typically 8-12 hours maximum)
f) On completion, the Permit Receiver confirms the area is safe and returns the permit
g) Permit Issuer inspects and signs off completion
h) Completed permits are retained for [3 years]</w:t>
      </w:r>
    </w:p>
    <w:p>
      <w:pPr>
        <w:pStyle w:val="Heading1"/>
        <w:pBdr>
          <w:bottom w:val="single" w:color="E8EFF7" w:sz="1"/>
        </w:pBdr>
        <w:spacing w:before="400" w:after="100"/>
      </w:pPr>
      <w:r>
        <w:rPr>
          <w:rFonts w:ascii="Calibri" w:cs="Calibri" w:eastAsia="Calibri" w:hAnsi="Calibri"/>
          <w:b/>
          <w:bCs/>
          <w:color w:val="1B3A5C"/>
          <w:sz w:val="28"/>
          <w:szCs w:val="28"/>
        </w:rPr>
        <w:t xml:space="preserve">5. Simultaneous Operations</w:t>
      </w:r>
    </w:p>
    <w:p>
      <w:pPr>
        <w:spacing w:after="120" w:line="300"/>
      </w:pPr>
      <w:r>
        <w:rPr>
          <w:rFonts w:ascii="Calibri" w:cs="Calibri" w:eastAsia="Calibri" w:hAnsi="Calibri"/>
          <w:color w:val="333333"/>
          <w:sz w:val="21"/>
          <w:szCs w:val="21"/>
        </w:rPr>
        <w:t xml:space="preserve">Where multiple permits are active in the same area, the Permit Issuer must assess the interaction between activities and ensure that combined hazards are controlled. A simultaneous operations assessment is documented.</w:t>
      </w:r>
    </w:p>
    <w:p>
      <w:pPr>
        <w:pStyle w:val="Heading1"/>
        <w:pBdr>
          <w:bottom w:val="single" w:color="E8EFF7" w:sz="1"/>
        </w:pBdr>
        <w:spacing w:before="400" w:after="100"/>
      </w:pPr>
      <w:r>
        <w:rPr>
          <w:rFonts w:ascii="Calibri" w:cs="Calibri" w:eastAsia="Calibri" w:hAnsi="Calibri"/>
          <w:b/>
          <w:bCs/>
          <w:color w:val="1B3A5C"/>
          <w:sz w:val="28"/>
          <w:szCs w:val="28"/>
        </w:rPr>
        <w:t xml:space="preserve">6. Related Documents</w:t>
      </w:r>
    </w:p>
    <w:p>
      <w:pPr>
        <w:pStyle w:val="ListParagraph"/>
        <w:numPr>
          <w:ilvl w:val="0"/>
          <w:numId w:val="1"/>
        </w:numPr>
        <w:spacing w:after="60" w:line="280"/>
      </w:pPr>
      <w:r>
        <w:rPr>
          <w:rFonts w:ascii="Calibri" w:cs="Calibri" w:eastAsia="Calibri" w:hAnsi="Calibri"/>
          <w:color w:val="333333"/>
          <w:sz w:val="21"/>
          <w:szCs w:val="21"/>
        </w:rPr>
        <w:t xml:space="preserve">FRM-006: Permit to Work Form</w:t>
      </w:r>
    </w:p>
    <w:p>
      <w:pPr>
        <w:pStyle w:val="ListParagraph"/>
        <w:numPr>
          <w:ilvl w:val="0"/>
          <w:numId w:val="1"/>
        </w:numPr>
        <w:spacing w:after="60" w:line="280"/>
      </w:pPr>
      <w:r>
        <w:rPr>
          <w:rFonts w:ascii="Calibri" w:cs="Calibri" w:eastAsia="Calibri" w:hAnsi="Calibri"/>
          <w:color w:val="333333"/>
          <w:sz w:val="21"/>
          <w:szCs w:val="21"/>
        </w:rPr>
        <w:t xml:space="preserve">PRO-005: HIRA Procedure</w:t>
      </w:r>
    </w:p>
    <w:p>
      <w:pPr>
        <w:pStyle w:val="ListParagraph"/>
        <w:numPr>
          <w:ilvl w:val="0"/>
          <w:numId w:val="1"/>
        </w:numPr>
        <w:spacing w:after="60" w:line="280"/>
      </w:pPr>
      <w:r>
        <w:rPr>
          <w:rFonts w:ascii="Calibri" w:cs="Calibri" w:eastAsia="Calibri" w:hAnsi="Calibri"/>
          <w:color w:val="333333"/>
          <w:sz w:val="21"/>
          <w:szCs w:val="21"/>
        </w:rPr>
        <w:t xml:space="preserve">PRO-007: Incident Investigation Procedure</w:t>
      </w:r>
    </w:p>
    <w:p>
      <w:pPr>
        <w:pStyle w:val="ListParagraph"/>
        <w:numPr>
          <w:ilvl w:val="0"/>
          <w:numId w:val="1"/>
        </w:numPr>
        <w:spacing w:after="60" w:line="280"/>
      </w:pPr>
      <w:r>
        <w:rPr>
          <w:rFonts w:ascii="Calibri" w:cs="Calibri" w:eastAsia="Calibri" w:hAnsi="Calibri"/>
          <w:color w:val="333333"/>
          <w:sz w:val="21"/>
          <w:szCs w:val="21"/>
        </w:rPr>
        <w:t xml:space="preserve">Safe Working Procedures (SWP series)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PRO-012  |  v1.0  |  ISO 45001:2018 / H&amp;S Best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2026-02-16T15:24:27.136Z</dcterms:created>
  <dcterms:modified xsi:type="dcterms:W3CDTF">2026-02-16T15:24:27.136Z</dcterms:modified>
</cp:coreProperties>
</file>

<file path=docProps/custom.xml><?xml version="1.0" encoding="utf-8"?>
<Properties xmlns="http://schemas.openxmlformats.org/officeDocument/2006/custom-properties" xmlns:vt="http://schemas.openxmlformats.org/officeDocument/2006/docPropsVTypes"/>
</file>