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Access Control &amp; Identity Management Procedure</w:t>
      </w:r>
    </w:p>
    <w:p>
      <w:pPr>
        <w:spacing w:after="800"/>
        <w:jc w:val="center"/>
      </w:pPr>
      <w:r>
        <w:rPr>
          <w:rFonts w:ascii="Calibri" w:cs="Calibri" w:eastAsia="Calibri" w:hAnsi="Calibri"/>
          <w:color w:val="666666"/>
          <w:sz w:val="24"/>
          <w:szCs w:val="24"/>
        </w:rPr>
        <w:t xml:space="preserve">ISO/IEC 27001:2022 Annex A.5.15-5.18, A.8.2-8.5</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PRO-026</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[Information Security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[CISO]</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ensure information and information processing facilities are accessed only by authorised persons, processes, or systems, following the principles of least privilege and need-to-know.</w:t>
      </w:r>
    </w:p>
    <w:p>
      <w:pPr>
        <w:pStyle w:val="Heading1"/>
        <w:pBdr>
          <w:bottom w:val="single" w:color="E8EFF7" w:sz="1"/>
        </w:pBdr>
        <w:spacing w:before="400" w:after="100"/>
      </w:pPr>
      <w:r>
        <w:rPr>
          <w:rFonts w:ascii="Calibri" w:cs="Calibri" w:eastAsia="Calibri" w:hAnsi="Calibri"/>
          <w:b/>
          <w:bCs/>
          <w:color w:val="1B3A5C"/>
          <w:sz w:val="28"/>
          <w:szCs w:val="28"/>
        </w:rPr>
        <w:t xml:space="preserve">2. User Registration &amp; Deregistration</w:t>
      </w:r>
    </w:p>
    <w:p>
      <w:pPr>
        <w:spacing w:after="120" w:line="300"/>
      </w:pPr>
      <w:r>
        <w:rPr>
          <w:rFonts w:ascii="Calibri" w:cs="Calibri" w:eastAsia="Calibri" w:hAnsi="Calibri"/>
          <w:color w:val="333333"/>
          <w:sz w:val="21"/>
          <w:szCs w:val="21"/>
        </w:rPr>
        <w:t xml:space="preserve">a) New user accounts require formal request from line manager via IT Service Desk
b) Identity verified before account creation (HR confirms employment)
c) Unique user ID assigned — no shared accounts permitted
d) Default access rights assigned based on role (RBAC)
e) Accounts disabled within 24 hours of employment termination
f) Quarterly review of all user accounts to identify orphaned/inactive accounts</w:t>
      </w:r>
    </w:p>
    <w:p>
      <w:pPr>
        <w:pStyle w:val="Heading1"/>
        <w:pBdr>
          <w:bottom w:val="single" w:color="E8EFF7" w:sz="1"/>
        </w:pBdr>
        <w:spacing w:before="400" w:after="100"/>
      </w:pPr>
      <w:r>
        <w:rPr>
          <w:rFonts w:ascii="Calibri" w:cs="Calibri" w:eastAsia="Calibri" w:hAnsi="Calibri"/>
          <w:b/>
          <w:bCs/>
          <w:color w:val="1B3A5C"/>
          <w:sz w:val="28"/>
          <w:szCs w:val="28"/>
        </w:rPr>
        <w:t xml:space="preserve">3. Access Provisioning</w:t>
      </w:r>
    </w:p>
    <w:p>
      <w:pPr>
        <w:spacing w:after="120" w:line="300"/>
      </w:pPr>
      <w:r>
        <w:rPr>
          <w:rFonts w:ascii="Calibri" w:cs="Calibri" w:eastAsia="Calibri" w:hAnsi="Calibri"/>
          <w:color w:val="333333"/>
          <w:sz w:val="21"/>
          <w:szCs w:val="21"/>
        </w:rPr>
        <w:t xml:space="preserve">a) Access rights granted based on role-based access control (RBAC) matrix
b) Additional access requires formal approval from data/system owner
c) Temporary access with defined expiry dates for contractors
d) Access changes following role changes processed within 5 working days
e) Annual access review by system/data owners — certify or revoke</w:t>
      </w:r>
    </w:p>
    <w:p>
      <w:pPr>
        <w:pStyle w:val="Heading1"/>
        <w:pBdr>
          <w:bottom w:val="single" w:color="E8EFF7" w:sz="1"/>
        </w:pBdr>
        <w:spacing w:before="400" w:after="100"/>
      </w:pPr>
      <w:r>
        <w:rPr>
          <w:rFonts w:ascii="Calibri" w:cs="Calibri" w:eastAsia="Calibri" w:hAnsi="Calibri"/>
          <w:b/>
          <w:bCs/>
          <w:color w:val="1B3A5C"/>
          <w:sz w:val="28"/>
          <w:szCs w:val="28"/>
        </w:rPr>
        <w:t xml:space="preserve">4. Privileged Access</w:t>
      </w:r>
    </w:p>
    <w:p>
      <w:pPr>
        <w:spacing w:after="120" w:line="300"/>
      </w:pPr>
      <w:r>
        <w:rPr>
          <w:rFonts w:ascii="Calibri" w:cs="Calibri" w:eastAsia="Calibri" w:hAnsi="Calibri"/>
          <w:color w:val="333333"/>
          <w:sz w:val="21"/>
          <w:szCs w:val="21"/>
        </w:rPr>
        <w:t xml:space="preserve">a) Privileged accounts (admin, root, DBA) require separate approval from CISO
b) Privileged accounts shall use multi-factor authentication (MFA)
c) Privileged actions logged with tamper-proof audit trail
d) Privileged accounts reviewed quarterly
e) Privileged access time-limited where possible (just-in-time access)
f) No browsing internet or reading email with privileged 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System Type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Password Policy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MFA Required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Session Timeout</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Standard user accounts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Min 12 chars, complexity, 90-day rotation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Yes — for remote access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30 minutes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Privileged accounts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Min 16 chars, complexity, 60-day rotation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Yes — always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15 minutes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Service accounts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Min 20 chars, no rotation (managed)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External/portal access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Min 12 chars, complexity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Yes — always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15 minutes</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6. Access Review Schedule</w:t>
      </w:r>
    </w:p>
    <w:p>
      <w:pPr>
        <w:spacing w:after="120" w:line="300"/>
      </w:pPr>
      <w:r>
        <w:rPr>
          <w:rFonts w:ascii="Calibri" w:cs="Calibri" w:eastAsia="Calibri" w:hAnsi="Calibri"/>
          <w:color w:val="333333"/>
          <w:sz w:val="21"/>
          <w:szCs w:val="21"/>
        </w:rPr>
        <w:t xml:space="preserve">Access reviews shall be conducted:</w:t>
      </w:r>
    </w:p>
    <w:p>
      <w:pPr>
        <w:spacing w:after="120" w:line="300"/>
      </w:pPr>
      <w:r>
        <w:rPr>
          <w:rFonts w:ascii="Calibri" w:cs="Calibri" w:eastAsia="Calibri" w:hAnsi="Calibri"/>
          <w:color w:val="333333"/>
          <w:sz w:val="21"/>
          <w:szCs w:val="21"/>
        </w:rPr>
        <w:t xml:space="preserve">• Quarterly: Privileged accounts
• Semi-annually: All user accounts
• On event: Role changes, department transfers, project completion
• Annual: Full access recertification by all system owners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PRO-026  |  v1.0  |  ISO/IEC 27001:2022 Annex A.5.15-5.18, A.8.2-8.5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2026-02-16T15:49:55.149Z</dcterms:created>
  <dcterms:modified xsi:type="dcterms:W3CDTF">2026-02-16T15:49:55.149Z</dcterms:modified>
</cp:coreProperties>
</file>

<file path=docProps/custom.xml><?xml version="1.0" encoding="utf-8"?>
<Properties xmlns="http://schemas.openxmlformats.org/officeDocument/2006/custom-properties" xmlns:vt="http://schemas.openxmlformats.org/officeDocument/2006/docPropsVTypes"/>
</file>