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IT Change Management Procedure</w:t>
      </w:r>
    </w:p>
    <w:p>
      <w:pPr>
        <w:spacing w:after="800"/>
        <w:jc w:val="center"/>
      </w:pPr>
      <w:r>
        <w:rPr>
          <w:rFonts w:ascii="Calibri" w:cs="Calibri" w:eastAsia="Calibri" w:hAnsi="Calibri"/>
          <w:color w:val="666666"/>
          <w:sz w:val="24"/>
          <w:szCs w:val="24"/>
        </w:rPr>
        <w:t xml:space="preserve">ISO/IEC 27001:2022 Annex A.8.32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PRO-028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[IT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[CISO]</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all changes to information systems, infrastructure, and software are managed in a controlled manner, minimising the risk of disruption and security vulnerabilities.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Category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Approval</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Lead Time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Standard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Pre-approved low-risk changes (e.g., routine patching)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Pre-approved by CAB</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As scheduled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Normal</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Planned changes requiring assessment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Change Advisory Board (CAB)</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Minimum 5 working days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Emergency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Urgent changes to restore service or fix critical vulnerabilities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Emergency CAB (CISO + IT Manager)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Immediate — retrospective review within 48 hours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3. Change Process</w:t>
      </w:r>
    </w:p>
    <w:p>
      <w:pPr>
        <w:spacing w:after="120" w:line="300"/>
      </w:pPr>
      <w:r>
        <w:rPr>
          <w:rFonts w:ascii="Calibri" w:cs="Calibri" w:eastAsia="Calibri" w:hAnsi="Calibri"/>
          <w:color w:val="333333"/>
          <w:sz w:val="21"/>
          <w:szCs w:val="21"/>
        </w:rPr>
        <w:t xml:space="preserve">1. Request: Change initiator submits Request for Change (RFC)
2. Assess: Risk, impact, and resource assessment
3. Approve: CAB reviews and approves/rejects
4. Plan: Detailed implementation plan with rollback procedure
5. Test: Change tested in non-production environment
6. Implement: Change deployed in agreed maintenance window
7. Review: Post-implementation review within 5 working days</w:t>
      </w:r>
    </w:p>
    <w:p>
      <w:pPr>
        <w:pStyle w:val="Heading1"/>
        <w:pBdr>
          <w:bottom w:val="single" w:color="E8EFF7" w:sz="1"/>
        </w:pBdr>
        <w:spacing w:before="400" w:after="100"/>
      </w:pPr>
      <w:r>
        <w:rPr>
          <w:rFonts w:ascii="Calibri" w:cs="Calibri" w:eastAsia="Calibri" w:hAnsi="Calibri"/>
          <w:b/>
          <w:bCs/>
          <w:color w:val="1B3A5C"/>
          <w:sz w:val="28"/>
          <w:szCs w:val="28"/>
        </w:rPr>
        <w:t xml:space="preserve">4. Security Impact Assessment</w:t>
      </w:r>
    </w:p>
    <w:p>
      <w:pPr>
        <w:spacing w:after="120" w:line="300"/>
      </w:pPr>
      <w:r>
        <w:rPr>
          <w:rFonts w:ascii="Calibri" w:cs="Calibri" w:eastAsia="Calibri" w:hAnsi="Calibri"/>
          <w:color w:val="333333"/>
          <w:sz w:val="21"/>
          <w:szCs w:val="21"/>
        </w:rPr>
        <w:t xml:space="preserve">All changes must include an assessment of security impact:</w:t>
      </w:r>
    </w:p>
    <w:p>
      <w:pPr>
        <w:spacing w:after="120" w:line="300"/>
      </w:pPr>
      <w:r>
        <w:rPr>
          <w:rFonts w:ascii="Calibri" w:cs="Calibri" w:eastAsia="Calibri" w:hAnsi="Calibri"/>
          <w:color w:val="333333"/>
          <w:sz w:val="21"/>
          <w:szCs w:val="21"/>
        </w:rPr>
        <w:t xml:space="preserve">a) Does the change introduce new vulnerabilities?
b) Does it affect access controls?
c) Does it change the attack surface?
d) Does it affect encryption or key management?
e) Does it require an update to the risk register or SoA?</w:t>
      </w:r>
    </w:p>
    <w:p>
      <w:pPr>
        <w:pStyle w:val="Heading1"/>
        <w:pBdr>
          <w:bottom w:val="single" w:color="E8EFF7" w:sz="1"/>
        </w:pBdr>
        <w:spacing w:before="400" w:after="100"/>
      </w:pPr>
      <w:r>
        <w:rPr>
          <w:rFonts w:ascii="Calibri" w:cs="Calibri" w:eastAsia="Calibri" w:hAnsi="Calibri"/>
          <w:b/>
          <w:bCs/>
          <w:color w:val="1B3A5C"/>
          <w:sz w:val="28"/>
          <w:szCs w:val="28"/>
        </w:rPr>
        <w:t xml:space="preserve">5. Rollback</w:t>
      </w:r>
    </w:p>
    <w:p>
      <w:pPr>
        <w:spacing w:after="120" w:line="300"/>
      </w:pPr>
      <w:r>
        <w:rPr>
          <w:rFonts w:ascii="Calibri" w:cs="Calibri" w:eastAsia="Calibri" w:hAnsi="Calibri"/>
          <w:color w:val="333333"/>
          <w:sz w:val="21"/>
          <w:szCs w:val="21"/>
        </w:rPr>
        <w:t xml:space="preserve">Every change must have a documented rollback plan. If the change causes unexpected issues, the rollback plan must be executed within the defined rollback window.</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PRO-028  |  v1.0  |  ISO/IEC 27001:2022 Annex A.8.32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2026-02-16T15:49:55.727Z</dcterms:created>
  <dcterms:modified xsi:type="dcterms:W3CDTF">2026-02-16T15:49:55.727Z</dcterms:modified>
</cp:coreProperties>
</file>

<file path=docProps/custom.xml><?xml version="1.0" encoding="utf-8"?>
<Properties xmlns="http://schemas.openxmlformats.org/officeDocument/2006/custom-properties" xmlns:vt="http://schemas.openxmlformats.org/officeDocument/2006/docPropsVTypes"/>
</file>