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Data Protection Impact Assessment (DPIA)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GDPR Article 35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PRO-041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[Data Protection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 define when and how Data Protection Impact Assessments (DPIAs) are conducted, ensuring compliance with GDPR Article 35 and UK GDPR.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When a DPIA is Required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 DPIA must be conducted before any processing that is likely to result in a high risk to the rights and freedoms of individuals. This includes: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Systematic and extensive profiling with significant effects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Large-scale processing of special category data (Article 9) or criminal offence data (Article 10)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Systematic monitoring of a publicly accessible area on a large scale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Use of new technologies (AI, biometrics, IoT)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Processing that prevents data subjects exercising a right or using a service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Automated decision-making with legal or similarly significant effects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Combining datasets from different sources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Processing of vulnerable individuals' data (children, employees, patients)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DPIA Process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Screening: Determine if DPIA is required (use screening checklist)
2. Describe: Document the processing (purpose, data, recipients, retention)
3. Assess necessity: Is the processing necessary and proportionate?
4. Identify risks: What risks does the processing pose to individuals?
5. Mitigate: What measures will reduce the identified risks?
6. DPO review: DPO provides written advice on the DPIA
7. Approval: Senior management approves or rejects the processing
8. Consult ICO: If residual high risks remain after mitigation, consult the supervisory authority before processing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DPO Consultation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DPO must be consulted on all DPIAs and provide documented advice. If the DPO recommends against the processing and management overrides, the reasoning must be documented.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Records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Completed DPIAs are retained for the duration of the processing activity plus 6 years. DPIAs must be reviewed when the nature, scope, context, or purposes of processing change.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PRO-041  |  v1.0  |  GDPR Article 35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2026-02-16T15:49:56.373Z</dcterms:created>
  <dcterms:modified xsi:type="dcterms:W3CDTF">2026-02-16T15:49:56.374Z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