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Personal Data Breach Notification Procedure</w:t>
      </w:r>
    </w:p>
    <w:p>
      <w:pPr>
        <w:spacing w:after="800"/>
        <w:jc w:val="center"/>
      </w:pPr>
      <w:r>
        <w:rPr>
          <w:rFonts w:ascii="Calibri" w:cs="Calibri" w:eastAsia="Calibri" w:hAnsi="Calibri"/>
          <w:color w:val="666666"/>
          <w:sz w:val="24"/>
          <w:szCs w:val="24"/>
        </w:rPr>
        <w:t xml:space="preserve">GDPR Articles 33-34</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PRO-042</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[Data Protection Officer]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ensure personal data breaches are detected, reported, investigated, and notified in compliance with GDPR Articles 33 (notification to supervisory authority) and 34 (communication to data subjects).</w:t>
      </w:r>
    </w:p>
    <w:p>
      <w:pPr>
        <w:pStyle w:val="Heading1"/>
        <w:pBdr>
          <w:bottom w:val="single" w:color="E8EFF7" w:sz="1"/>
        </w:pBdr>
        <w:spacing w:before="400" w:after="100"/>
      </w:pPr>
      <w:r>
        <w:rPr>
          <w:rFonts w:ascii="Calibri" w:cs="Calibri" w:eastAsia="Calibri" w:hAnsi="Calibri"/>
          <w:b/>
          <w:bCs/>
          <w:color w:val="1B3A5C"/>
          <w:sz w:val="28"/>
          <w:szCs w:val="28"/>
        </w:rPr>
        <w:t xml:space="preserve">2. What is a Personal Data Breach</w:t>
      </w:r>
    </w:p>
    <w:p>
      <w:pPr>
        <w:spacing w:after="120" w:line="300"/>
      </w:pPr>
      <w:r>
        <w:rPr>
          <w:rFonts w:ascii="Calibri" w:cs="Calibri" w:eastAsia="Calibri" w:hAnsi="Calibri"/>
          <w:color w:val="333333"/>
          <w:sz w:val="21"/>
          <w:szCs w:val="21"/>
        </w:rPr>
        <w:t xml:space="preserve">A breach of security leading to the accidental or unlawful destruction, loss, alteration, unauthorised disclosure of, or access to, personal data. This includes:</w:t>
      </w:r>
    </w:p>
    <w:p>
      <w:pPr>
        <w:pStyle w:val="ListParagraph"/>
        <w:numPr>
          <w:ilvl w:val="0"/>
          <w:numId w:val="1"/>
        </w:numPr>
        <w:spacing w:after="60" w:line="280"/>
      </w:pPr>
      <w:r>
        <w:rPr>
          <w:rFonts w:ascii="Calibri" w:cs="Calibri" w:eastAsia="Calibri" w:hAnsi="Calibri"/>
          <w:color w:val="333333"/>
          <w:sz w:val="21"/>
          <w:szCs w:val="21"/>
        </w:rPr>
        <w:t xml:space="preserve">Confidentiality breach: unauthorised or accidental disclosure of or access to personal data</w:t>
      </w:r>
    </w:p>
    <w:p>
      <w:pPr>
        <w:pStyle w:val="ListParagraph"/>
        <w:numPr>
          <w:ilvl w:val="0"/>
          <w:numId w:val="1"/>
        </w:numPr>
        <w:spacing w:after="60" w:line="280"/>
      </w:pPr>
      <w:r>
        <w:rPr>
          <w:rFonts w:ascii="Calibri" w:cs="Calibri" w:eastAsia="Calibri" w:hAnsi="Calibri"/>
          <w:color w:val="333333"/>
          <w:sz w:val="21"/>
          <w:szCs w:val="21"/>
        </w:rPr>
        <w:t xml:space="preserve">Integrity breach: unauthorised or accidental alteration of personal data</w:t>
      </w:r>
    </w:p>
    <w:p>
      <w:pPr>
        <w:pStyle w:val="ListParagraph"/>
        <w:numPr>
          <w:ilvl w:val="0"/>
          <w:numId w:val="1"/>
        </w:numPr>
        <w:spacing w:after="60" w:line="280"/>
      </w:pPr>
      <w:r>
        <w:rPr>
          <w:rFonts w:ascii="Calibri" w:cs="Calibri" w:eastAsia="Calibri" w:hAnsi="Calibri"/>
          <w:color w:val="333333"/>
          <w:sz w:val="21"/>
          <w:szCs w:val="21"/>
        </w:rPr>
        <w:t xml:space="preserve">Availability breach: accidental or unauthorised loss of access to or destruction of personal data</w:t>
      </w:r>
    </w:p>
    <w:p>
      <w:pPr>
        <w:pStyle w:val="Heading1"/>
        <w:pBdr>
          <w:bottom w:val="single" w:color="E8EFF7" w:sz="1"/>
        </w:pBdr>
        <w:spacing w:before="400" w:after="100"/>
      </w:pPr>
      <w:r>
        <w:rPr>
          <w:rFonts w:ascii="Calibri" w:cs="Calibri" w:eastAsia="Calibri" w:hAnsi="Calibri"/>
          <w:b/>
          <w:bCs/>
          <w:color w:val="1B3A5C"/>
          <w:sz w:val="28"/>
          <w:szCs w:val="28"/>
        </w:rPr>
        <w:t xml:space="preserve">3. Detection &amp; Reporting</w:t>
      </w:r>
    </w:p>
    <w:p>
      <w:pPr>
        <w:spacing w:after="120" w:line="300"/>
      </w:pPr>
      <w:r>
        <w:rPr>
          <w:rFonts w:ascii="Calibri" w:cs="Calibri" w:eastAsia="Calibri" w:hAnsi="Calibri"/>
          <w:color w:val="333333"/>
          <w:sz w:val="21"/>
          <w:szCs w:val="21"/>
        </w:rPr>
        <w:t xml:space="preserve">a) Any employee who suspects a personal data breach must report it to the DPO immediately (within 4 hours of becoming aware)
b) Reports via: [email/phone/portal — provide specific contact details]
c) The DPO logs the breach in the Data Breach Register (REG-028)
d) The DPO assesses whether the breach is likely to result in a risk to individuals</w:t>
      </w:r>
    </w:p>
    <w:p>
      <w:pPr>
        <w:pStyle w:val="Heading1"/>
        <w:pBdr>
          <w:bottom w:val="single" w:color="E8EFF7" w:sz="1"/>
        </w:pBdr>
        <w:spacing w:before="400" w:after="100"/>
      </w:pPr>
      <w:r>
        <w:rPr>
          <w:rFonts w:ascii="Calibri" w:cs="Calibri" w:eastAsia="Calibri" w:hAnsi="Calibri"/>
          <w:b/>
          <w:bCs/>
          <w:color w:val="1B3A5C"/>
          <w:sz w:val="28"/>
          <w:szCs w:val="28"/>
        </w:rPr>
        <w:t xml:space="preserve">4. ICO Notification (72-Hour Deadline)</w:t>
      </w:r>
    </w:p>
    <w:p>
      <w:pPr>
        <w:spacing w:after="120" w:line="300"/>
      </w:pPr>
      <w:r>
        <w:rPr>
          <w:rFonts w:ascii="Calibri" w:cs="Calibri" w:eastAsia="Calibri" w:hAnsi="Calibri"/>
          <w:color w:val="333333"/>
          <w:sz w:val="21"/>
          <w:szCs w:val="21"/>
        </w:rPr>
        <w:t xml:space="preserve">If the breach is likely to result in a risk to the rights and freedoms of individuals:</w:t>
      </w:r>
    </w:p>
    <w:p>
      <w:pPr>
        <w:spacing w:after="120" w:line="300"/>
      </w:pPr>
      <w:r>
        <w:rPr>
          <w:rFonts w:ascii="Calibri" w:cs="Calibri" w:eastAsia="Calibri" w:hAnsi="Calibri"/>
          <w:color w:val="333333"/>
          <w:sz w:val="21"/>
          <w:szCs w:val="21"/>
        </w:rPr>
        <w:t xml:space="preserve">a) The DPO must notify the ICO within 72 hours of becoming aware of the breach
b) Notification via the ICO's online breach reporting tool
c) Include: nature of breach, categories and approximate number of data subjects affected, likely consequences, measures taken
d) If full information is not available within 72 hours, provide initial notification and supplement with further details</w:t>
      </w:r>
    </w:p>
    <w:p>
      <w:pPr>
        <w:pStyle w:val="Heading1"/>
        <w:pBdr>
          <w:bottom w:val="single" w:color="E8EFF7" w:sz="1"/>
        </w:pBdr>
        <w:spacing w:before="400" w:after="100"/>
      </w:pPr>
      <w:r>
        <w:rPr>
          <w:rFonts w:ascii="Calibri" w:cs="Calibri" w:eastAsia="Calibri" w:hAnsi="Calibri"/>
          <w:b/>
          <w:bCs/>
          <w:color w:val="1B3A5C"/>
          <w:sz w:val="28"/>
          <w:szCs w:val="28"/>
        </w:rPr>
        <w:t xml:space="preserve">5. Data Subject Communication</w:t>
      </w:r>
    </w:p>
    <w:p>
      <w:pPr>
        <w:spacing w:after="120" w:line="300"/>
      </w:pPr>
      <w:r>
        <w:rPr>
          <w:rFonts w:ascii="Calibri" w:cs="Calibri" w:eastAsia="Calibri" w:hAnsi="Calibri"/>
          <w:color w:val="333333"/>
          <w:sz w:val="21"/>
          <w:szCs w:val="21"/>
        </w:rPr>
        <w:t xml:space="preserve">If the breach is likely to result in a HIGH risk to individuals:</w:t>
      </w:r>
    </w:p>
    <w:p>
      <w:pPr>
        <w:spacing w:after="120" w:line="300"/>
      </w:pPr>
      <w:r>
        <w:rPr>
          <w:rFonts w:ascii="Calibri" w:cs="Calibri" w:eastAsia="Calibri" w:hAnsi="Calibri"/>
          <w:color w:val="333333"/>
          <w:sz w:val="21"/>
          <w:szCs w:val="21"/>
        </w:rPr>
        <w:t xml:space="preserve">a) Communicate the breach to affected data subjects without undue delay
b) Use clear, plain language
c) Include: description of the breach, DPO contact details, likely consequences, measures taken to address/mitigate the breach
d) Communication may be waived if: data was encrypted, subsequent measures eliminate the high risk, or disproportionate effort (use public communication instead)</w:t>
      </w:r>
    </w:p>
    <w:p>
      <w:pPr>
        <w:pStyle w:val="Heading1"/>
        <w:pBdr>
          <w:bottom w:val="single" w:color="E8EFF7" w:sz="1"/>
        </w:pBdr>
        <w:spacing w:before="400" w:after="100"/>
      </w:pPr>
      <w:r>
        <w:rPr>
          <w:rFonts w:ascii="Calibri" w:cs="Calibri" w:eastAsia="Calibri" w:hAnsi="Calibri"/>
          <w:b/>
          <w:bCs/>
          <w:color w:val="1B3A5C"/>
          <w:sz w:val="28"/>
          <w:szCs w:val="28"/>
        </w:rPr>
        <w:t xml:space="preserve">6. Investigation &amp; Remediation</w:t>
      </w:r>
    </w:p>
    <w:p>
      <w:pPr>
        <w:spacing w:after="120" w:line="300"/>
      </w:pPr>
      <w:r>
        <w:rPr>
          <w:rFonts w:ascii="Calibri" w:cs="Calibri" w:eastAsia="Calibri" w:hAnsi="Calibri"/>
          <w:color w:val="333333"/>
          <w:sz w:val="21"/>
          <w:szCs w:val="21"/>
        </w:rPr>
        <w:t xml:space="preserve">a) DPO leads the breach investigation with support from IT Security and relevant departments
b) Root cause analysis within 5 working days
c) Corrective actions identified and assigned
d) Lessons learned documented and shared
e) DPIA updated if the breach relates to existing processing</w:t>
      </w:r>
    </w:p>
    <w:p>
      <w:pPr>
        <w:pStyle w:val="Heading1"/>
        <w:pBdr>
          <w:bottom w:val="single" w:color="E8EFF7" w:sz="1"/>
        </w:pBdr>
        <w:spacing w:before="400" w:after="100"/>
      </w:pPr>
      <w:r>
        <w:rPr>
          <w:rFonts w:ascii="Calibri" w:cs="Calibri" w:eastAsia="Calibri" w:hAnsi="Calibri"/>
          <w:b/>
          <w:bCs/>
          <w:color w:val="1B3A5C"/>
          <w:sz w:val="28"/>
          <w:szCs w:val="28"/>
        </w:rPr>
        <w:t xml:space="preserve">7. Records</w:t>
      </w:r>
    </w:p>
    <w:p>
      <w:pPr>
        <w:spacing w:after="120" w:line="300"/>
      </w:pPr>
      <w:r>
        <w:rPr>
          <w:rFonts w:ascii="Calibri" w:cs="Calibri" w:eastAsia="Calibri" w:hAnsi="Calibri"/>
          <w:color w:val="333333"/>
          <w:sz w:val="21"/>
          <w:szCs w:val="21"/>
        </w:rPr>
        <w:t xml:space="preserve">All breaches (including those not notified to the ICO) must be documented in the Data Breach Register (REG-028). Records retained for 6 years.</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PRO-042  |  v1.0  |  GDPR Articles 33-34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2026-02-16T15:49:56.616Z</dcterms:created>
  <dcterms:modified xsi:type="dcterms:W3CDTF">2026-02-16T15:49:56.617Z</dcterms:modified>
</cp:coreProperties>
</file>

<file path=docProps/custom.xml><?xml version="1.0" encoding="utf-8"?>
<Properties xmlns="http://schemas.openxmlformats.org/officeDocument/2006/custom-properties" xmlns:vt="http://schemas.openxmlformats.org/officeDocument/2006/docPropsVTypes"/>
</file>