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Data Processing Agreement Template</w:t>
      </w:r>
    </w:p>
    <w:p>
      <w:pPr>
        <w:spacing w:after="800"/>
        <w:jc w:val="center"/>
      </w:pPr>
      <w:r>
        <w:rPr>
          <w:rFonts w:ascii="Calibri" w:cs="Calibri" w:eastAsia="Calibri" w:hAnsi="Calibri"/>
          <w:color w:val="666666"/>
          <w:sz w:val="24"/>
          <w:szCs w:val="24"/>
        </w:rPr>
        <w:t xml:space="preserve">GDPR Article 28(3)</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PRO-044</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[Data Protection Officer]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[Legal / Managing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Parties</w:t>
      </w:r>
    </w:p>
    <w:p>
      <w:pPr>
        <w:spacing w:after="120" w:line="300"/>
      </w:pPr>
      <w:r>
        <w:rPr>
          <w:rFonts w:ascii="Calibri" w:cs="Calibri" w:eastAsia="Calibri" w:hAnsi="Calibri"/>
          <w:color w:val="333333"/>
          <w:sz w:val="21"/>
          <w:szCs w:val="21"/>
        </w:rPr>
        <w:t xml:space="preserve">Data Controller: [COMPANY NAME] ("the Controller")
Data Processor: [PROCESSOR NAME] ("the Processor")</w:t>
      </w:r>
    </w:p>
    <w:p>
      <w:pPr>
        <w:pStyle w:val="Heading1"/>
        <w:pBdr>
          <w:bottom w:val="single" w:color="E8EFF7" w:sz="1"/>
        </w:pBdr>
        <w:spacing w:before="400" w:after="100"/>
      </w:pPr>
      <w:r>
        <w:rPr>
          <w:rFonts w:ascii="Calibri" w:cs="Calibri" w:eastAsia="Calibri" w:hAnsi="Calibri"/>
          <w:b/>
          <w:bCs/>
          <w:color w:val="1B3A5C"/>
          <w:sz w:val="28"/>
          <w:szCs w:val="28"/>
        </w:rPr>
        <w:t xml:space="preserve">2. Subject Matter &amp; Duration</w:t>
      </w:r>
    </w:p>
    <w:p>
      <w:pPr>
        <w:spacing w:after="120" w:line="300"/>
      </w:pPr>
      <w:r>
        <w:rPr>
          <w:rFonts w:ascii="Calibri" w:cs="Calibri" w:eastAsia="Calibri" w:hAnsi="Calibri"/>
          <w:color w:val="333333"/>
          <w:sz w:val="21"/>
          <w:szCs w:val="21"/>
        </w:rPr>
        <w:t xml:space="preserve">Subject matter: [Description of processing]
Duration: [Contract period]
Nature of processing: [Collection, storage, retrieval, analysis, etc.]
Purpose: [Purpose of processing]
Categories of data subjects: [Employees, customers, etc.]
Types of personal data: [Name, email, financial data, etc.]</w:t>
      </w:r>
    </w:p>
    <w:p>
      <w:pPr>
        <w:pStyle w:val="Heading1"/>
        <w:pBdr>
          <w:bottom w:val="single" w:color="E8EFF7" w:sz="1"/>
        </w:pBdr>
        <w:spacing w:before="400" w:after="100"/>
      </w:pPr>
      <w:r>
        <w:rPr>
          <w:rFonts w:ascii="Calibri" w:cs="Calibri" w:eastAsia="Calibri" w:hAnsi="Calibri"/>
          <w:b/>
          <w:bCs/>
          <w:color w:val="1B3A5C"/>
          <w:sz w:val="28"/>
          <w:szCs w:val="28"/>
        </w:rPr>
        <w:t xml:space="preserve">3. Processor Obligations (Article 28(3))</w:t>
      </w:r>
    </w:p>
    <w:p>
      <w:pPr>
        <w:pStyle w:val="ListParagraph"/>
        <w:numPr>
          <w:ilvl w:val="0"/>
          <w:numId w:val="1"/>
        </w:numPr>
        <w:spacing w:after="60" w:line="280"/>
      </w:pPr>
      <w:r>
        <w:rPr>
          <w:rFonts w:ascii="Calibri" w:cs="Calibri" w:eastAsia="Calibri" w:hAnsi="Calibri"/>
          <w:color w:val="333333"/>
          <w:sz w:val="21"/>
          <w:szCs w:val="21"/>
        </w:rPr>
        <w:t xml:space="preserve">(a) Process personal data only on documented instructions from the Controller</w:t>
      </w:r>
    </w:p>
    <w:p>
      <w:pPr>
        <w:pStyle w:val="ListParagraph"/>
        <w:numPr>
          <w:ilvl w:val="0"/>
          <w:numId w:val="1"/>
        </w:numPr>
        <w:spacing w:after="60" w:line="280"/>
      </w:pPr>
      <w:r>
        <w:rPr>
          <w:rFonts w:ascii="Calibri" w:cs="Calibri" w:eastAsia="Calibri" w:hAnsi="Calibri"/>
          <w:color w:val="333333"/>
          <w:sz w:val="21"/>
          <w:szCs w:val="21"/>
        </w:rPr>
        <w:t xml:space="preserve">(b) Ensure persons authorised to process personal data are bound by confidentiality</w:t>
      </w:r>
    </w:p>
    <w:p>
      <w:pPr>
        <w:pStyle w:val="ListParagraph"/>
        <w:numPr>
          <w:ilvl w:val="0"/>
          <w:numId w:val="1"/>
        </w:numPr>
        <w:spacing w:after="60" w:line="280"/>
      </w:pPr>
      <w:r>
        <w:rPr>
          <w:rFonts w:ascii="Calibri" w:cs="Calibri" w:eastAsia="Calibri" w:hAnsi="Calibri"/>
          <w:color w:val="333333"/>
          <w:sz w:val="21"/>
          <w:szCs w:val="21"/>
        </w:rPr>
        <w:t xml:space="preserve">(c) Take all measures required pursuant to Article 32 (security of processing)</w:t>
      </w:r>
    </w:p>
    <w:p>
      <w:pPr>
        <w:pStyle w:val="ListParagraph"/>
        <w:numPr>
          <w:ilvl w:val="0"/>
          <w:numId w:val="1"/>
        </w:numPr>
        <w:spacing w:after="60" w:line="280"/>
      </w:pPr>
      <w:r>
        <w:rPr>
          <w:rFonts w:ascii="Calibri" w:cs="Calibri" w:eastAsia="Calibri" w:hAnsi="Calibri"/>
          <w:color w:val="333333"/>
          <w:sz w:val="21"/>
          <w:szCs w:val="21"/>
        </w:rPr>
        <w:t xml:space="preserve">(d) Not engage a sub-processor without prior written authorisation of the Controller</w:t>
      </w:r>
    </w:p>
    <w:p>
      <w:pPr>
        <w:pStyle w:val="ListParagraph"/>
        <w:numPr>
          <w:ilvl w:val="0"/>
          <w:numId w:val="1"/>
        </w:numPr>
        <w:spacing w:after="60" w:line="280"/>
      </w:pPr>
      <w:r>
        <w:rPr>
          <w:rFonts w:ascii="Calibri" w:cs="Calibri" w:eastAsia="Calibri" w:hAnsi="Calibri"/>
          <w:color w:val="333333"/>
          <w:sz w:val="21"/>
          <w:szCs w:val="21"/>
        </w:rPr>
        <w:t xml:space="preserve">(e) Assist the Controller with data subject rights requests</w:t>
      </w:r>
    </w:p>
    <w:p>
      <w:pPr>
        <w:pStyle w:val="ListParagraph"/>
        <w:numPr>
          <w:ilvl w:val="0"/>
          <w:numId w:val="1"/>
        </w:numPr>
        <w:spacing w:after="60" w:line="280"/>
      </w:pPr>
      <w:r>
        <w:rPr>
          <w:rFonts w:ascii="Calibri" w:cs="Calibri" w:eastAsia="Calibri" w:hAnsi="Calibri"/>
          <w:color w:val="333333"/>
          <w:sz w:val="21"/>
          <w:szCs w:val="21"/>
        </w:rPr>
        <w:t xml:space="preserve">(f) Assist the Controller with obligations under Articles 32-36 (security, breach notification, DPIA)</w:t>
      </w:r>
    </w:p>
    <w:p>
      <w:pPr>
        <w:pStyle w:val="ListParagraph"/>
        <w:numPr>
          <w:ilvl w:val="0"/>
          <w:numId w:val="1"/>
        </w:numPr>
        <w:spacing w:after="60" w:line="280"/>
      </w:pPr>
      <w:r>
        <w:rPr>
          <w:rFonts w:ascii="Calibri" w:cs="Calibri" w:eastAsia="Calibri" w:hAnsi="Calibri"/>
          <w:color w:val="333333"/>
          <w:sz w:val="21"/>
          <w:szCs w:val="21"/>
        </w:rPr>
        <w:t xml:space="preserve">(g) Delete or return all personal data on termination of the contract</w:t>
      </w:r>
    </w:p>
    <w:p>
      <w:pPr>
        <w:pStyle w:val="ListParagraph"/>
        <w:numPr>
          <w:ilvl w:val="0"/>
          <w:numId w:val="1"/>
        </w:numPr>
        <w:spacing w:after="60" w:line="280"/>
      </w:pPr>
      <w:r>
        <w:rPr>
          <w:rFonts w:ascii="Calibri" w:cs="Calibri" w:eastAsia="Calibri" w:hAnsi="Calibri"/>
          <w:color w:val="333333"/>
          <w:sz w:val="21"/>
          <w:szCs w:val="21"/>
        </w:rPr>
        <w:t xml:space="preserve">(h) Make available all information necessary to demonstrate compliance and allow for audits</w:t>
      </w:r>
    </w:p>
    <w:p>
      <w:pPr>
        <w:pStyle w:val="Heading1"/>
        <w:pBdr>
          <w:bottom w:val="single" w:color="E8EFF7" w:sz="1"/>
        </w:pBdr>
        <w:spacing w:before="400" w:after="100"/>
      </w:pPr>
      <w:r>
        <w:rPr>
          <w:rFonts w:ascii="Calibri" w:cs="Calibri" w:eastAsia="Calibri" w:hAnsi="Calibri"/>
          <w:b/>
          <w:bCs/>
          <w:color w:val="1B3A5C"/>
          <w:sz w:val="28"/>
          <w:szCs w:val="28"/>
        </w:rPr>
        <w:t xml:space="preserve">4. Sub-Processing</w:t>
      </w:r>
    </w:p>
    <w:p>
      <w:pPr>
        <w:spacing w:after="120" w:line="300"/>
      </w:pPr>
      <w:r>
        <w:rPr>
          <w:rFonts w:ascii="Calibri" w:cs="Calibri" w:eastAsia="Calibri" w:hAnsi="Calibri"/>
          <w:color w:val="333333"/>
          <w:sz w:val="21"/>
          <w:szCs w:val="21"/>
        </w:rPr>
        <w:t xml:space="preserve">The Processor shall not engage any sub-processor without prior specific or general written authorisation from the Controller. Where general authorisation is given, the Processor shall inform the Controller of any intended changes concerning the addition or replacement of sub-processors, giving the Controller an opportunity to object.</w:t>
      </w:r>
    </w:p>
    <w:p>
      <w:pPr>
        <w:pStyle w:val="Heading1"/>
        <w:pBdr>
          <w:bottom w:val="single" w:color="E8EFF7" w:sz="1"/>
        </w:pBdr>
        <w:spacing w:before="400" w:after="100"/>
      </w:pPr>
      <w:r>
        <w:rPr>
          <w:rFonts w:ascii="Calibri" w:cs="Calibri" w:eastAsia="Calibri" w:hAnsi="Calibri"/>
          <w:b/>
          <w:bCs/>
          <w:color w:val="1B3A5C"/>
          <w:sz w:val="28"/>
          <w:szCs w:val="28"/>
        </w:rPr>
        <w:t xml:space="preserve">5. International Transfers</w:t>
      </w:r>
    </w:p>
    <w:p>
      <w:pPr>
        <w:spacing w:after="120" w:line="300"/>
      </w:pPr>
      <w:r>
        <w:rPr>
          <w:rFonts w:ascii="Calibri" w:cs="Calibri" w:eastAsia="Calibri" w:hAnsi="Calibri"/>
          <w:color w:val="333333"/>
          <w:sz w:val="21"/>
          <w:szCs w:val="21"/>
        </w:rPr>
        <w:t xml:space="preserve">The Processor shall not transfer personal data to a country outside the UK/EEA without prior written consent and appropriate safeguards (Standard Contractual Clauses, adequacy decision, or other approved mechanism).</w:t>
      </w:r>
    </w:p>
    <w:p>
      <w:pPr>
        <w:pStyle w:val="Heading1"/>
        <w:pBdr>
          <w:bottom w:val="single" w:color="E8EFF7" w:sz="1"/>
        </w:pBdr>
        <w:spacing w:before="400" w:after="100"/>
      </w:pPr>
      <w:r>
        <w:rPr>
          <w:rFonts w:ascii="Calibri" w:cs="Calibri" w:eastAsia="Calibri" w:hAnsi="Calibri"/>
          <w:b/>
          <w:bCs/>
          <w:color w:val="1B3A5C"/>
          <w:sz w:val="28"/>
          <w:szCs w:val="28"/>
        </w:rPr>
        <w:t xml:space="preserve">6. Breach Notification</w:t>
      </w:r>
    </w:p>
    <w:p>
      <w:pPr>
        <w:spacing w:after="120" w:line="300"/>
      </w:pPr>
      <w:r>
        <w:rPr>
          <w:rFonts w:ascii="Calibri" w:cs="Calibri" w:eastAsia="Calibri" w:hAnsi="Calibri"/>
          <w:color w:val="333333"/>
          <w:sz w:val="21"/>
          <w:szCs w:val="21"/>
        </w:rPr>
        <w:t xml:space="preserve">The Processor shall notify the Controller without undue delay (and no later than 24 hours) after becoming aware of a personal data breach affecting Controller data.</w:t>
      </w:r>
    </w:p>
    <w:p>
      <w:pPr>
        <w:pStyle w:val="Heading1"/>
        <w:pBdr>
          <w:bottom w:val="single" w:color="E8EFF7" w:sz="1"/>
        </w:pBdr>
        <w:spacing w:before="400" w:after="100"/>
      </w:pPr>
      <w:r>
        <w:rPr>
          <w:rFonts w:ascii="Calibri" w:cs="Calibri" w:eastAsia="Calibri" w:hAnsi="Calibri"/>
          <w:b/>
          <w:bCs/>
          <w:color w:val="1B3A5C"/>
          <w:sz w:val="28"/>
          <w:szCs w:val="28"/>
        </w:rPr>
        <w:t xml:space="preserve">7. Audit Rights</w:t>
      </w:r>
    </w:p>
    <w:p>
      <w:pPr>
        <w:spacing w:after="120" w:line="300"/>
      </w:pPr>
      <w:r>
        <w:rPr>
          <w:rFonts w:ascii="Calibri" w:cs="Calibri" w:eastAsia="Calibri" w:hAnsi="Calibri"/>
          <w:color w:val="333333"/>
          <w:sz w:val="21"/>
          <w:szCs w:val="21"/>
        </w:rPr>
        <w:t xml:space="preserve">The Processor shall make available to the Controller all information necessary to demonstrate compliance with Article 28 obligations and allow for and contribute to audits, including inspections, conducted by the Controller or an auditor mandated by the Controller.</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PRO-044  |  v1.0  |  GDPR Article 28(3)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2026-02-16T15:49:57.235Z</dcterms:created>
  <dcterms:modified xsi:type="dcterms:W3CDTF">2026-02-16T15:49:57.235Z</dcterms:modified>
</cp:coreProperties>
</file>

<file path=docProps/custom.xml><?xml version="1.0" encoding="utf-8"?>
<Properties xmlns="http://schemas.openxmlformats.org/officeDocument/2006/custom-properties" xmlns:vt="http://schemas.openxmlformats.org/officeDocument/2006/docPropsVTypes"/>
</file>