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Consent Management Procedure</w:t>
      </w:r>
    </w:p>
    <w:p>
      <w:pPr>
        <w:spacing w:after="800"/>
        <w:jc w:val="center"/>
      </w:pPr>
      <w:r>
        <w:rPr>
          <w:rFonts w:ascii="Calibri" w:cs="Calibri" w:eastAsia="Calibri" w:hAnsi="Calibri"/>
          <w:color w:val="666666"/>
          <w:sz w:val="24"/>
          <w:szCs w:val="24"/>
        </w:rPr>
        <w:t xml:space="preserve">GDPR Articles 6(1)(a), 7</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PRO-045</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[Data Protection Officer]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ensure valid consent is obtained, recorded, managed, and withdrawable for all processing activities that rely on consent as the lawful basis under GDPR Article 6(1)(a).</w:t>
      </w:r>
    </w:p>
    <w:p>
      <w:pPr>
        <w:pStyle w:val="Heading1"/>
        <w:pBdr>
          <w:bottom w:val="single" w:color="E8EFF7" w:sz="1"/>
        </w:pBdr>
        <w:spacing w:before="400" w:after="100"/>
      </w:pPr>
      <w:r>
        <w:rPr>
          <w:rFonts w:ascii="Calibri" w:cs="Calibri" w:eastAsia="Calibri" w:hAnsi="Calibri"/>
          <w:b/>
          <w:bCs/>
          <w:color w:val="1B3A5C"/>
          <w:sz w:val="28"/>
          <w:szCs w:val="28"/>
        </w:rPr>
        <w:t xml:space="preserve">2. Requirements for Valid Consent</w:t>
      </w:r>
    </w:p>
    <w:p>
      <w:pPr>
        <w:pStyle w:val="ListParagraph"/>
        <w:numPr>
          <w:ilvl w:val="0"/>
          <w:numId w:val="1"/>
        </w:numPr>
        <w:spacing w:after="60" w:line="280"/>
      </w:pPr>
      <w:r>
        <w:rPr>
          <w:rFonts w:ascii="Calibri" w:cs="Calibri" w:eastAsia="Calibri" w:hAnsi="Calibri"/>
          <w:color w:val="333333"/>
          <w:sz w:val="21"/>
          <w:szCs w:val="21"/>
        </w:rPr>
        <w:t xml:space="preserve">Freely given: Not conditional on a service, no imbalance of power, granular (separate consent for different purposes)</w:t>
      </w:r>
    </w:p>
    <w:p>
      <w:pPr>
        <w:pStyle w:val="ListParagraph"/>
        <w:numPr>
          <w:ilvl w:val="0"/>
          <w:numId w:val="1"/>
        </w:numPr>
        <w:spacing w:after="60" w:line="280"/>
      </w:pPr>
      <w:r>
        <w:rPr>
          <w:rFonts w:ascii="Calibri" w:cs="Calibri" w:eastAsia="Calibri" w:hAnsi="Calibri"/>
          <w:color w:val="333333"/>
          <w:sz w:val="21"/>
          <w:szCs w:val="21"/>
        </w:rPr>
        <w:t xml:space="preserve">Specific: Clearly identified processing purpose(s)</w:t>
      </w:r>
    </w:p>
    <w:p>
      <w:pPr>
        <w:pStyle w:val="ListParagraph"/>
        <w:numPr>
          <w:ilvl w:val="0"/>
          <w:numId w:val="1"/>
        </w:numPr>
        <w:spacing w:after="60" w:line="280"/>
      </w:pPr>
      <w:r>
        <w:rPr>
          <w:rFonts w:ascii="Calibri" w:cs="Calibri" w:eastAsia="Calibri" w:hAnsi="Calibri"/>
          <w:color w:val="333333"/>
          <w:sz w:val="21"/>
          <w:szCs w:val="21"/>
        </w:rPr>
        <w:t xml:space="preserve">Informed: Data subject knows who the controller is, what data, why, and their right to withdraw</w:t>
      </w:r>
    </w:p>
    <w:p>
      <w:pPr>
        <w:pStyle w:val="ListParagraph"/>
        <w:numPr>
          <w:ilvl w:val="0"/>
          <w:numId w:val="1"/>
        </w:numPr>
        <w:spacing w:after="60" w:line="280"/>
      </w:pPr>
      <w:r>
        <w:rPr>
          <w:rFonts w:ascii="Calibri" w:cs="Calibri" w:eastAsia="Calibri" w:hAnsi="Calibri"/>
          <w:color w:val="333333"/>
          <w:sz w:val="21"/>
          <w:szCs w:val="21"/>
        </w:rPr>
        <w:t xml:space="preserve">Unambiguous: Clear affirmative action (opt-in, not pre-ticked boxes)</w:t>
      </w:r>
    </w:p>
    <w:p>
      <w:pPr>
        <w:pStyle w:val="ListParagraph"/>
        <w:numPr>
          <w:ilvl w:val="0"/>
          <w:numId w:val="1"/>
        </w:numPr>
        <w:spacing w:after="60" w:line="280"/>
      </w:pPr>
      <w:r>
        <w:rPr>
          <w:rFonts w:ascii="Calibri" w:cs="Calibri" w:eastAsia="Calibri" w:hAnsi="Calibri"/>
          <w:color w:val="333333"/>
          <w:sz w:val="21"/>
          <w:szCs w:val="21"/>
        </w:rPr>
        <w:t xml:space="preserve">Explicit: Required for special category data (Article 9) — must be expressly confirmed</w:t>
      </w:r>
    </w:p>
    <w:p>
      <w:pPr>
        <w:pStyle w:val="Heading1"/>
        <w:pBdr>
          <w:bottom w:val="single" w:color="E8EFF7" w:sz="1"/>
        </w:pBdr>
        <w:spacing w:before="400" w:after="100"/>
      </w:pPr>
      <w:r>
        <w:rPr>
          <w:rFonts w:ascii="Calibri" w:cs="Calibri" w:eastAsia="Calibri" w:hAnsi="Calibri"/>
          <w:b/>
          <w:bCs/>
          <w:color w:val="1B3A5C"/>
          <w:sz w:val="28"/>
          <w:szCs w:val="28"/>
        </w:rPr>
        <w:t xml:space="preserve">3. Consent Records</w:t>
      </w:r>
    </w:p>
    <w:p>
      <w:pPr>
        <w:spacing w:after="120" w:line="300"/>
      </w:pPr>
      <w:r>
        <w:rPr>
          <w:rFonts w:ascii="Calibri" w:cs="Calibri" w:eastAsia="Calibri" w:hAnsi="Calibri"/>
          <w:color w:val="333333"/>
          <w:sz w:val="21"/>
          <w:szCs w:val="21"/>
        </w:rPr>
        <w:t xml:space="preserve">For each consent obtained, the following must be recorded:</w:t>
      </w:r>
    </w:p>
    <w:p>
      <w:pPr>
        <w:spacing w:after="120" w:line="300"/>
      </w:pPr>
      <w:r>
        <w:rPr>
          <w:rFonts w:ascii="Calibri" w:cs="Calibri" w:eastAsia="Calibri" w:hAnsi="Calibri"/>
          <w:color w:val="333333"/>
          <w:sz w:val="21"/>
          <w:szCs w:val="21"/>
        </w:rPr>
        <w:t xml:space="preserve">a) Who consented (data subject identifier)
b) When they consented (date and time)
c) What they were told at the time (version of privacy notice/consent form)
d) How they consented (online form, paper form, verbal — with witness)
e) Whether they have withdrawn consent (date of withdrawal)</w:t>
      </w:r>
    </w:p>
    <w:p>
      <w:pPr>
        <w:pStyle w:val="Heading1"/>
        <w:pBdr>
          <w:bottom w:val="single" w:color="E8EFF7" w:sz="1"/>
        </w:pBdr>
        <w:spacing w:before="400" w:after="100"/>
      </w:pPr>
      <w:r>
        <w:rPr>
          <w:rFonts w:ascii="Calibri" w:cs="Calibri" w:eastAsia="Calibri" w:hAnsi="Calibri"/>
          <w:b/>
          <w:bCs/>
          <w:color w:val="1B3A5C"/>
          <w:sz w:val="28"/>
          <w:szCs w:val="28"/>
        </w:rPr>
        <w:t xml:space="preserve">4. Withdrawal of Consent</w:t>
      </w:r>
    </w:p>
    <w:p>
      <w:pPr>
        <w:spacing w:after="120" w:line="300"/>
      </w:pPr>
      <w:r>
        <w:rPr>
          <w:rFonts w:ascii="Calibri" w:cs="Calibri" w:eastAsia="Calibri" w:hAnsi="Calibri"/>
          <w:color w:val="333333"/>
          <w:sz w:val="21"/>
          <w:szCs w:val="21"/>
        </w:rPr>
        <w:t xml:space="preserve">Data subjects must be able to withdraw consent as easily as they gave it:</w:t>
      </w:r>
    </w:p>
    <w:p>
      <w:pPr>
        <w:spacing w:after="120" w:line="300"/>
      </w:pPr>
      <w:r>
        <w:rPr>
          <w:rFonts w:ascii="Calibri" w:cs="Calibri" w:eastAsia="Calibri" w:hAnsi="Calibri"/>
          <w:color w:val="333333"/>
          <w:sz w:val="21"/>
          <w:szCs w:val="21"/>
        </w:rPr>
        <w:t xml:space="preserve">a) Provide clear mechanism for withdrawal (unsubscribe link, online form, contact DPO)
b) Process withdrawal requests within 48 hours
c) Cease processing on the withdrawn basis immediately
d) Inform data subjects of any consequences of withdrawal
e) Retain record of the consent and its withdrawal</w:t>
      </w:r>
    </w:p>
    <w:p>
      <w:pPr>
        <w:pStyle w:val="Heading1"/>
        <w:pBdr>
          <w:bottom w:val="single" w:color="E8EFF7" w:sz="1"/>
        </w:pBdr>
        <w:spacing w:before="400" w:after="100"/>
      </w:pPr>
      <w:r>
        <w:rPr>
          <w:rFonts w:ascii="Calibri" w:cs="Calibri" w:eastAsia="Calibri" w:hAnsi="Calibri"/>
          <w:b/>
          <w:bCs/>
          <w:color w:val="1B3A5C"/>
          <w:sz w:val="28"/>
          <w:szCs w:val="28"/>
        </w:rPr>
        <w:t xml:space="preserve">5. Review</w:t>
      </w:r>
    </w:p>
    <w:p>
      <w:pPr>
        <w:spacing w:after="120" w:line="300"/>
      </w:pPr>
      <w:r>
        <w:rPr>
          <w:rFonts w:ascii="Calibri" w:cs="Calibri" w:eastAsia="Calibri" w:hAnsi="Calibri"/>
          <w:color w:val="333333"/>
          <w:sz w:val="21"/>
          <w:szCs w:val="21"/>
        </w:rPr>
        <w:t xml:space="preserve">Consent mechanisms and records shall be reviewed annually to ensure they remain valid, up-to-date, and compliant with current ICO guidance.</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PRO-045  |  v1.0  |  GDPR Articles 6(1)(a),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2026-02-16T15:49:57.474Z</dcterms:created>
  <dcterms:modified xsi:type="dcterms:W3CDTF">2026-02-16T15:49:57.474Z</dcterms:modified>
</cp:coreProperties>
</file>

<file path=docProps/custom.xml><?xml version="1.0" encoding="utf-8"?>
<Properties xmlns="http://schemas.openxmlformats.org/officeDocument/2006/custom-properties" xmlns:vt="http://schemas.openxmlformats.org/officeDocument/2006/docPropsVTypes"/>
</file>