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3A5C"/>
          <w:sz w:val="60"/>
          <w:szCs w:val="60"/>
        </w:rPr>
        <w:t xml:space="preserve">NEXARA</w:t>
      </w:r>
    </w:p>
    <w:p>
      <w:pPr>
        <w:spacing w:after="600"/>
        <w:jc w:val="center"/>
      </w:pPr>
      <w:r>
        <w:rPr>
          <w:rFonts w:ascii="Calibri" w:cs="Calibri" w:eastAsia="Calibri" w:hAnsi="Calibri"/>
          <w:color w:val="666666"/>
          <w:sz w:val="28"/>
          <w:szCs w:val="28"/>
        </w:rPr>
        <w:t xml:space="preserve">Integrated Management System</w:t>
      </w:r>
    </w:p>
    <w:p>
      <w:pPr>
        <w:pBdr>
          <w:bottom w:val="single" w:color="1B3A5C" w:sz="6"/>
        </w:pBdr>
        <w:spacing w:after="600"/>
      </w:pPr>
      <w:r>
        <w:rPr>
          <w:sz w:val="2"/>
          <w:szCs w:val="2"/>
        </w:rPr>
        <w:t xml:space="preserve"/>
      </w:r>
    </w:p>
    <w:p>
      <w:pPr>
        <w:spacing w:after="200"/>
        <w:jc w:val="center"/>
      </w:pPr>
      <w:r>
        <w:rPr>
          <w:rFonts w:ascii="Calibri" w:cs="Calibri" w:eastAsia="Calibri" w:hAnsi="Calibri"/>
          <w:b/>
          <w:bCs/>
          <w:color w:val="333333"/>
          <w:sz w:val="44"/>
          <w:szCs w:val="44"/>
        </w:rPr>
        <w:t xml:space="preserve">Production &amp; Service Provision Control Procedure</w:t>
      </w:r>
    </w:p>
    <w:p>
      <w:pPr>
        <w:spacing w:after="800"/>
        <w:jc w:val="center"/>
      </w:pPr>
      <w:r>
        <w:rPr>
          <w:rFonts w:ascii="Calibri" w:cs="Calibri" w:eastAsia="Calibri" w:hAnsi="Calibri"/>
          <w:color w:val="666666"/>
          <w:sz w:val="24"/>
          <w:szCs w:val="24"/>
        </w:rPr>
        <w:t xml:space="preserve">ISO 9001:2015 Clause 8.5</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Document Number: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PRO-048</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Version: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1.0</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Date:</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[DD/MM/YYYY]</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Owner: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[Operations Manager]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Approved By:</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[Managing Director]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Classification: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Confidential</w:t>
            </w:r>
          </w:p>
        </w:tc>
      </w:tr>
    </w:tbl>
    <w:p>
      <w:pPr>
        <w:spacing w:after="600"/>
      </w:pPr>
    </w:p>
    <w:p>
      <w:pPr>
        <w:spacing w:before="400" w:after="200"/>
      </w:pPr>
      <w:r>
        <w:rPr>
          <w:rFonts w:ascii="Calibri" w:cs="Calibri" w:eastAsia="Calibri" w:hAnsi="Calibri"/>
          <w:b/>
          <w:bCs/>
          <w:color w:val="1B3A5C"/>
          <w:sz w:val="24"/>
          <w:szCs w:val="24"/>
        </w:rP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Version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Date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Description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Author</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Approved By</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1.0</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[DD/MM/YYYY]</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Initial Issue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[Author Name]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[Approver Name]</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bl>
    <w:p>
      <w:r>
        <w:br w:type="page"/>
      </w:r>
    </w:p>
    <w:p>
      <w:pPr>
        <w:pStyle w:val="Heading1"/>
        <w:pBdr>
          <w:bottom w:val="single" w:color="E8EFF7" w:sz="1"/>
        </w:pBdr>
        <w:spacing w:before="400" w:after="100"/>
      </w:pPr>
      <w:r>
        <w:rPr>
          <w:rFonts w:ascii="Calibri" w:cs="Calibri" w:eastAsia="Calibri" w:hAnsi="Calibri"/>
          <w:b/>
          <w:bCs/>
          <w:color w:val="1B3A5C"/>
          <w:sz w:val="28"/>
          <w:szCs w:val="28"/>
        </w:rPr>
        <w:t xml:space="preserve">1. Purpose</w:t>
      </w:r>
    </w:p>
    <w:p>
      <w:pPr>
        <w:spacing w:after="120" w:line="300"/>
      </w:pPr>
      <w:r>
        <w:rPr>
          <w:rFonts w:ascii="Calibri" w:cs="Calibri" w:eastAsia="Calibri" w:hAnsi="Calibri"/>
          <w:color w:val="333333"/>
          <w:sz w:val="21"/>
          <w:szCs w:val="21"/>
        </w:rPr>
        <w:t xml:space="preserve">To ensure production and service provision is carried out under controlled conditions, including monitoring, measurement, and the use of suitable infrastructure and process environment.</w:t>
      </w:r>
    </w:p>
    <w:p>
      <w:pPr>
        <w:pStyle w:val="Heading1"/>
        <w:pBdr>
          <w:bottom w:val="single" w:color="E8EFF7" w:sz="1"/>
        </w:pBdr>
        <w:spacing w:before="400" w:after="100"/>
      </w:pPr>
      <w:r>
        <w:rPr>
          <w:rFonts w:ascii="Calibri" w:cs="Calibri" w:eastAsia="Calibri" w:hAnsi="Calibri"/>
          <w:b/>
          <w:bCs/>
          <w:color w:val="1B3A5C"/>
          <w:sz w:val="28"/>
          <w:szCs w:val="28"/>
        </w:rPr>
        <w:t xml:space="preserve">2. Controlled Conditions (8.5.1)</w:t>
      </w:r>
    </w:p>
    <w:p>
      <w:pPr>
        <w:spacing w:after="120" w:line="300"/>
      </w:pPr>
      <w:r>
        <w:rPr>
          <w:rFonts w:ascii="Calibri" w:cs="Calibri" w:eastAsia="Calibri" w:hAnsi="Calibri"/>
          <w:color w:val="333333"/>
          <w:sz w:val="21"/>
          <w:szCs w:val="21"/>
        </w:rPr>
        <w:t xml:space="preserve">The organisation shall implement production and service provision under controlled conditions including:</w:t>
      </w:r>
    </w:p>
    <w:p>
      <w:pPr>
        <w:spacing w:after="120" w:line="300"/>
      </w:pPr>
      <w:r>
        <w:rPr>
          <w:rFonts w:ascii="Calibri" w:cs="Calibri" w:eastAsia="Calibri" w:hAnsi="Calibri"/>
          <w:color w:val="333333"/>
          <w:sz w:val="21"/>
          <w:szCs w:val="21"/>
        </w:rPr>
        <w:t xml:space="preserve">a) Availability of documented information defining product/service characteristics and activities to be performed
b) Availability and use of suitable monitoring and measuring resources
c) Implementation of monitoring and measurement at appropriate stages
d) Use of suitable infrastructure and process environment
e) Appointment of competent persons
f) Validation and revalidation of processes where output cannot be verified by subsequent monitoring
g) Implementation of actions to prevent human error
h) Implementation of release, delivery, and post-delivery activities</w:t>
      </w:r>
    </w:p>
    <w:p>
      <w:pPr>
        <w:pStyle w:val="Heading1"/>
        <w:pBdr>
          <w:bottom w:val="single" w:color="E8EFF7" w:sz="1"/>
        </w:pBdr>
        <w:spacing w:before="400" w:after="100"/>
      </w:pPr>
      <w:r>
        <w:rPr>
          <w:rFonts w:ascii="Calibri" w:cs="Calibri" w:eastAsia="Calibri" w:hAnsi="Calibri"/>
          <w:b/>
          <w:bCs/>
          <w:color w:val="1B3A5C"/>
          <w:sz w:val="28"/>
          <w:szCs w:val="28"/>
        </w:rPr>
        <w:t xml:space="preserve">3. Identification &amp; Traceability (8.5.2)</w:t>
      </w:r>
    </w:p>
    <w:p>
      <w:pPr>
        <w:spacing w:after="120" w:line="300"/>
      </w:pPr>
      <w:r>
        <w:rPr>
          <w:rFonts w:ascii="Calibri" w:cs="Calibri" w:eastAsia="Calibri" w:hAnsi="Calibri"/>
          <w:color w:val="333333"/>
          <w:sz w:val="21"/>
          <w:szCs w:val="21"/>
        </w:rPr>
        <w:t xml:space="preserve">Products and services shall be identified by suitable means throughout production/service provision. Traceability shall be maintained where required by the customer, statutory/regulatory requirements, or where the organisation determines it is necessary. Unique identification shall be recorded.</w:t>
      </w:r>
    </w:p>
    <w:p>
      <w:pPr>
        <w:pStyle w:val="Heading1"/>
        <w:pBdr>
          <w:bottom w:val="single" w:color="E8EFF7" w:sz="1"/>
        </w:pBdr>
        <w:spacing w:before="400" w:after="100"/>
      </w:pPr>
      <w:r>
        <w:rPr>
          <w:rFonts w:ascii="Calibri" w:cs="Calibri" w:eastAsia="Calibri" w:hAnsi="Calibri"/>
          <w:b/>
          <w:bCs/>
          <w:color w:val="1B3A5C"/>
          <w:sz w:val="28"/>
          <w:szCs w:val="28"/>
        </w:rPr>
        <w:t xml:space="preserve">4. Customer/External Provider Property (8.5.3)</w:t>
      </w:r>
    </w:p>
    <w:p>
      <w:pPr>
        <w:spacing w:after="120" w:line="300"/>
      </w:pPr>
      <w:r>
        <w:rPr>
          <w:rFonts w:ascii="Calibri" w:cs="Calibri" w:eastAsia="Calibri" w:hAnsi="Calibri"/>
          <w:color w:val="333333"/>
          <w:sz w:val="21"/>
          <w:szCs w:val="21"/>
        </w:rPr>
        <w:t xml:space="preserve">Property belonging to customers or external providers shall be identified, verified, protected, and safeguarded while under the organisation's control. If lost, damaged, or found unsuitable, the owner shall be notified and records retained.</w:t>
      </w:r>
    </w:p>
    <w:p>
      <w:pPr>
        <w:pStyle w:val="Heading1"/>
        <w:pBdr>
          <w:bottom w:val="single" w:color="E8EFF7" w:sz="1"/>
        </w:pBdr>
        <w:spacing w:before="400" w:after="100"/>
      </w:pPr>
      <w:r>
        <w:rPr>
          <w:rFonts w:ascii="Calibri" w:cs="Calibri" w:eastAsia="Calibri" w:hAnsi="Calibri"/>
          <w:b/>
          <w:bCs/>
          <w:color w:val="1B3A5C"/>
          <w:sz w:val="28"/>
          <w:szCs w:val="28"/>
        </w:rPr>
        <w:t xml:space="preserve">5. Preservation (8.5.4)</w:t>
      </w:r>
    </w:p>
    <w:p>
      <w:pPr>
        <w:spacing w:after="120" w:line="300"/>
      </w:pPr>
      <w:r>
        <w:rPr>
          <w:rFonts w:ascii="Calibri" w:cs="Calibri" w:eastAsia="Calibri" w:hAnsi="Calibri"/>
          <w:color w:val="333333"/>
          <w:sz w:val="21"/>
          <w:szCs w:val="21"/>
        </w:rPr>
        <w:t xml:space="preserve">The organisation shall preserve outputs during production and service provision to ensure conformity to requirements. Preservation may include identification, handling, contamination control, packaging, storage, transmission, transportation, and protection.</w:t>
      </w:r>
    </w:p>
    <w:p>
      <w:pPr>
        <w:pStyle w:val="Heading1"/>
        <w:pBdr>
          <w:bottom w:val="single" w:color="E8EFF7" w:sz="1"/>
        </w:pBdr>
        <w:spacing w:before="400" w:after="100"/>
      </w:pPr>
      <w:r>
        <w:rPr>
          <w:rFonts w:ascii="Calibri" w:cs="Calibri" w:eastAsia="Calibri" w:hAnsi="Calibri"/>
          <w:b/>
          <w:bCs/>
          <w:color w:val="1B3A5C"/>
          <w:sz w:val="28"/>
          <w:szCs w:val="28"/>
        </w:rPr>
        <w:t xml:space="preserve">6. Post-Delivery Activities (8.5.5)</w:t>
      </w:r>
    </w:p>
    <w:p>
      <w:pPr>
        <w:spacing w:after="120" w:line="300"/>
      </w:pPr>
      <w:r>
        <w:rPr>
          <w:rFonts w:ascii="Calibri" w:cs="Calibri" w:eastAsia="Calibri" w:hAnsi="Calibri"/>
          <w:color w:val="333333"/>
          <w:sz w:val="21"/>
          <w:szCs w:val="21"/>
        </w:rPr>
        <w:t xml:space="preserve">Post-delivery activities shall consider statutory/regulatory requirements, potential undesired consequences, nature/use/lifetime of products, customer requirements, and customer feedback.</w:t>
      </w:r>
    </w:p>
    <w:p>
      <w:pPr>
        <w:pStyle w:val="Heading1"/>
        <w:pBdr>
          <w:bottom w:val="single" w:color="E8EFF7" w:sz="1"/>
        </w:pBdr>
        <w:spacing w:before="400" w:after="100"/>
      </w:pPr>
      <w:r>
        <w:rPr>
          <w:rFonts w:ascii="Calibri" w:cs="Calibri" w:eastAsia="Calibri" w:hAnsi="Calibri"/>
          <w:b/>
          <w:bCs/>
          <w:color w:val="1B3A5C"/>
          <w:sz w:val="28"/>
          <w:szCs w:val="28"/>
        </w:rPr>
        <w:t xml:space="preserve">7. Control of Changes (8.5.6)</w:t>
      </w:r>
    </w:p>
    <w:p>
      <w:pPr>
        <w:spacing w:after="120" w:line="300"/>
      </w:pPr>
      <w:r>
        <w:rPr>
          <w:rFonts w:ascii="Calibri" w:cs="Calibri" w:eastAsia="Calibri" w:hAnsi="Calibri"/>
          <w:color w:val="333333"/>
          <w:sz w:val="21"/>
          <w:szCs w:val="21"/>
        </w:rPr>
        <w:t xml:space="preserve">Changes to production or service provision shall be reviewed and controlled to ensure continued conformity. Results of change reviews, authorising persons, and any necessary actions shall be documented.</w:t>
      </w:r>
    </w:p>
    <w:sectPr>
      <w:headerReference w:type="default" r:id="rId6"/>
      <w:footerReference w:type="default" r:id="rId7"/>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1"/>
      </w:pBdr>
      <w:spacing w:before="100"/>
      <w:jc w:val="center"/>
    </w:pPr>
    <w:r>
      <w:rPr>
        <w:rFonts w:ascii="Calibri" w:cs="Calibri" w:eastAsia="Calibri" w:hAnsi="Calibri"/>
        <w:color w:val="666666"/>
        <w:sz w:val="14"/>
        <w:szCs w:val="14"/>
      </w:rPr>
      <w:t xml:space="preserve">Confidential — [Company Name]</w:t>
    </w:r>
    <w:r>
      <w:rPr>
        <w:sz w:val="14"/>
        <w:szCs w:val="14"/>
      </w:rPr>
      <w:t xml:space="preserve">    </w:t>
    </w:r>
    <w:r>
      <w:rPr>
        <w:rFonts w:ascii="Calibri" w:cs="Calibri" w:eastAsia="Calibri" w:hAnsi="Calibri"/>
        <w:color w:val="666666"/>
        <w:sz w:val="14"/>
        <w:szCs w:val="14"/>
      </w:rPr>
      <w:t xml:space="preserve">© 2026 [Company Name] — Nexara IMS</w:t>
    </w:r>
    <w:r>
      <w:rPr>
        <w:rFonts w:ascii="Calibri" w:cs="Calibri" w:eastAsia="Calibri" w:hAnsi="Calibri"/>
        <w:color w:val="666666"/>
        <w:sz w:val="14"/>
        <w:szCs w:val="14"/>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1"/>
      </w:pBdr>
      <w:spacing w:after="100"/>
    </w:pPr>
    <w:r>
      <w:rPr>
        <w:rFonts w:ascii="Calibri" w:cs="Calibri" w:eastAsia="Calibri" w:hAnsi="Calibri"/>
        <w:b/>
        <w:bCs/>
        <w:color w:val="1B3A5C"/>
        <w:sz w:val="16"/>
        <w:szCs w:val="16"/>
      </w:rPr>
      <w:t xml:space="preserve">NEXARA IMS</w:t>
    </w:r>
    <w:r>
      <w:rPr>
        <w:rFonts w:ascii="Calibri" w:cs="Calibri" w:eastAsia="Calibri" w:hAnsi="Calibri"/>
        <w:color w:val="666666"/>
        <w:sz w:val="14"/>
        <w:szCs w:val="14"/>
      </w:rPr>
      <w:t xml:space="preserve">    PRO-048  |  v1.0  |  ISO 9001:2015 Clause 8.5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2026-02-16T16:24:02.542Z</dcterms:created>
  <dcterms:modified xsi:type="dcterms:W3CDTF">2026-02-16T16:24:02.542Z</dcterms:modified>
</cp:coreProperties>
</file>

<file path=docProps/custom.xml><?xml version="1.0" encoding="utf-8"?>
<Properties xmlns="http://schemas.openxmlformats.org/officeDocument/2006/custom-properties" xmlns:vt="http://schemas.openxmlformats.org/officeDocument/2006/docPropsVTypes"/>
</file>