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3A5C"/>
          <w:sz w:val="60"/>
          <w:szCs w:val="60"/>
        </w:rPr>
        <w:t xml:space="preserve">NEXARA</w:t>
      </w:r>
    </w:p>
    <w:p>
      <w:pPr>
        <w:spacing w:after="600"/>
        <w:jc w:val="center"/>
      </w:pPr>
      <w:r>
        <w:rPr>
          <w:rFonts w:ascii="Calibri" w:cs="Calibri" w:eastAsia="Calibri" w:hAnsi="Calibri"/>
          <w:color w:val="666666"/>
          <w:sz w:val="28"/>
          <w:szCs w:val="28"/>
        </w:rPr>
        <w:t xml:space="preserve">Integrated Management System</w:t>
      </w:r>
    </w:p>
    <w:p>
      <w:pPr>
        <w:pBdr>
          <w:bottom w:val="single" w:color="1B3A5C" w:sz="6"/>
        </w:pBdr>
        <w:spacing w:after="600"/>
      </w:pPr>
      <w:r>
        <w:rPr>
          <w:sz w:val="2"/>
          <w:szCs w:val="2"/>
        </w:rPr>
        <w:t xml:space="preserve"/>
      </w:r>
    </w:p>
    <w:p>
      <w:pPr>
        <w:spacing w:after="200"/>
        <w:jc w:val="center"/>
      </w:pPr>
      <w:r>
        <w:rPr>
          <w:rFonts w:ascii="Calibri" w:cs="Calibri" w:eastAsia="Calibri" w:hAnsi="Calibri"/>
          <w:b/>
          <w:bCs/>
          <w:color w:val="333333"/>
          <w:sz w:val="44"/>
          <w:szCs w:val="44"/>
        </w:rPr>
        <w:t xml:space="preserve">Environmental Aspects &amp; Impacts Assessment Procedure</w:t>
      </w:r>
    </w:p>
    <w:p>
      <w:pPr>
        <w:spacing w:after="800"/>
        <w:jc w:val="center"/>
      </w:pPr>
      <w:r>
        <w:rPr>
          <w:rFonts w:ascii="Calibri" w:cs="Calibri" w:eastAsia="Calibri" w:hAnsi="Calibri"/>
          <w:color w:val="666666"/>
          <w:sz w:val="24"/>
          <w:szCs w:val="24"/>
        </w:rPr>
        <w:t xml:space="preserve">ISO 14001:2015 Clause 6.1.2</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Document Number: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PRO-049</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Version: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1.0</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Date:</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[DD/MM/YYYY]</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Owner:</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[Environmental Manager]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Approved By:</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[Managing Director]</w:t>
            </w:r>
          </w:p>
        </w:tc>
      </w:tr>
      <w:tr>
        <w:tc>
          <w:tcPr>
            <w:tcW w:type="pct" w:w="35%"/>
            <w:shd w:fill="1B3A5C" w:val="clear"/>
            <w:tcMar>
              <w:top w:type="dxa" w:w="40"/>
              <w:left w:type="dxa" w:w="100"/>
              <w:bottom w:type="dxa" w:w="40"/>
              <w:right w:type="dxa" w:w="100"/>
            </w:tcMar>
          </w:tcPr>
          <w:p>
            <w:pPr>
              <w:spacing w:before="40" w:after="40"/>
            </w:pPr>
            <w:r>
              <w:rPr>
                <w:rFonts w:ascii="Calibri" w:cs="Calibri" w:eastAsia="Calibri" w:hAnsi="Calibri"/>
                <w:b/>
                <w:bCs/>
                <w:color w:val="FFFFFF"/>
                <w:sz w:val="20"/>
                <w:szCs w:val="20"/>
              </w:rPr>
              <w:t xml:space="preserve">Classification:</w:t>
            </w:r>
          </w:p>
        </w:tc>
        <w:tc>
          <w:tcPr>
            <w:tcW w:type="pct" w:w="65%"/>
            <w:tcMar>
              <w:top w:type="dxa" w:w="40"/>
              <w:left w:type="dxa" w:w="100"/>
              <w:bottom w:type="dxa" w:w="40"/>
              <w:right w:type="dxa" w:w="100"/>
            </w:tcMar>
          </w:tcPr>
          <w:p>
            <w:pPr>
              <w:spacing w:before="40" w:after="40"/>
            </w:pPr>
            <w:r>
              <w:rPr>
                <w:rFonts w:ascii="Calibri" w:cs="Calibri" w:eastAsia="Calibri" w:hAnsi="Calibri"/>
                <w:sz w:val="20"/>
                <w:szCs w:val="20"/>
              </w:rPr>
              <w:t xml:space="preserve">Confidential</w:t>
            </w:r>
          </w:p>
        </w:tc>
      </w:tr>
    </w:tbl>
    <w:p>
      <w:pPr>
        <w:spacing w:after="600"/>
      </w:pPr>
    </w:p>
    <w:p>
      <w:pPr>
        <w:spacing w:before="400" w:after="200"/>
      </w:pPr>
      <w:r>
        <w:rPr>
          <w:rFonts w:ascii="Calibri" w:cs="Calibri" w:eastAsia="Calibri" w:hAnsi="Calibri"/>
          <w:b/>
          <w:bCs/>
          <w:color w:val="1B3A5C"/>
          <w:sz w:val="24"/>
          <w:szCs w:val="24"/>
        </w:rPr>
        <w:t xml:space="preserve">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Version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Date</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Description</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Author</w:t>
            </w:r>
          </w:p>
        </w:tc>
        <w:tc>
          <w:tcPr>
            <w:shd w:fill="1B3A5C" w:val="clear"/>
            <w:tcMar>
              <w:top w:type="dxa" w:w="30"/>
              <w:left w:type="dxa" w:w="60"/>
              <w:bottom w:type="dxa" w:w="30"/>
              <w:right w:type="dxa" w:w="60"/>
            </w:tcMar>
          </w:tcPr>
          <w:p>
            <w:pPr>
              <w:spacing w:before="30" w:after="30"/>
              <w:jc w:val="center"/>
            </w:pPr>
            <w:r>
              <w:rPr>
                <w:rFonts w:ascii="Calibri" w:cs="Calibri" w:eastAsia="Calibri" w:hAnsi="Calibri"/>
                <w:b/>
                <w:bCs/>
                <w:color w:val="FFFFFF"/>
                <w:sz w:val="18"/>
                <w:szCs w:val="18"/>
              </w:rPr>
              <w:t xml:space="preserve">Approved By</w:t>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1.0</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[DD/MM/YYYY]</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Initial Issue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[Author Name]</w:t>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[Approver Name]</w:t>
            </w:r>
          </w:p>
        </w:tc>
      </w:tr>
      <w:tr>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shd w:fill="F5F5F5" w:val="clea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r>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c>
          <w:tcPr>
            <w:tcMar>
              <w:top w:type="dxa" w:w="20"/>
              <w:left w:type="dxa" w:w="60"/>
              <w:bottom w:type="dxa" w:w="20"/>
              <w:right w:type="dxa" w:w="60"/>
            </w:tcMar>
          </w:tcPr>
          <w:p>
            <w:pPr>
              <w:spacing w:before="20" w:after="20"/>
            </w:pPr>
            <w:r>
              <w:rPr>
                <w:rFonts w:ascii="Calibri" w:cs="Calibri" w:eastAsia="Calibri" w:hAnsi="Calibri"/>
                <w:sz w:val="18"/>
                <w:szCs w:val="18"/>
              </w:rPr>
              <w:t xml:space="preserve"/>
            </w:r>
          </w:p>
        </w:tc>
      </w:tr>
    </w:tbl>
    <w:p>
      <w:r>
        <w:br w:type="page"/>
      </w:r>
    </w:p>
    <w:p>
      <w:pPr>
        <w:pStyle w:val="Heading1"/>
        <w:pBdr>
          <w:bottom w:val="single" w:color="E8EFF7" w:sz="1"/>
        </w:pBdr>
        <w:spacing w:before="400" w:after="100"/>
      </w:pPr>
      <w:r>
        <w:rPr>
          <w:rFonts w:ascii="Calibri" w:cs="Calibri" w:eastAsia="Calibri" w:hAnsi="Calibri"/>
          <w:b/>
          <w:bCs/>
          <w:color w:val="1B3A5C"/>
          <w:sz w:val="28"/>
          <w:szCs w:val="28"/>
        </w:rPr>
        <w:t xml:space="preserve">1. Purpose</w:t>
      </w:r>
    </w:p>
    <w:p>
      <w:pPr>
        <w:spacing w:after="120" w:line="300"/>
      </w:pPr>
      <w:r>
        <w:rPr>
          <w:rFonts w:ascii="Calibri" w:cs="Calibri" w:eastAsia="Calibri" w:hAnsi="Calibri"/>
          <w:color w:val="333333"/>
          <w:sz w:val="21"/>
          <w:szCs w:val="21"/>
        </w:rPr>
        <w:t xml:space="preserve">To identify environmental aspects of activities, products, and services, determine those with significant environmental impacts, and establish controls to manage them.</w:t>
      </w:r>
    </w:p>
    <w:p>
      <w:pPr>
        <w:pStyle w:val="Heading1"/>
        <w:pBdr>
          <w:bottom w:val="single" w:color="E8EFF7" w:sz="1"/>
        </w:pBdr>
        <w:spacing w:before="400" w:after="100"/>
      </w:pPr>
      <w:r>
        <w:rPr>
          <w:rFonts w:ascii="Calibri" w:cs="Calibri" w:eastAsia="Calibri" w:hAnsi="Calibri"/>
          <w:b/>
          <w:bCs/>
          <w:color w:val="1B3A5C"/>
          <w:sz w:val="28"/>
          <w:szCs w:val="28"/>
        </w:rPr>
        <w:t xml:space="preserve">2. Scope</w:t>
      </w:r>
    </w:p>
    <w:p>
      <w:pPr>
        <w:spacing w:after="120" w:line="300"/>
      </w:pPr>
      <w:r>
        <w:rPr>
          <w:rFonts w:ascii="Calibri" w:cs="Calibri" w:eastAsia="Calibri" w:hAnsi="Calibri"/>
          <w:color w:val="333333"/>
          <w:sz w:val="21"/>
          <w:szCs w:val="21"/>
        </w:rPr>
        <w:t xml:space="preserve">Applies to all activities, products, and services within the scope of the EMS, including those the organisation can control and those it can influence. Considers normal, abnormal, and emergency conditions.</w:t>
      </w:r>
    </w:p>
    <w:p>
      <w:pPr>
        <w:pStyle w:val="Heading1"/>
        <w:pBdr>
          <w:bottom w:val="single" w:color="E8EFF7" w:sz="1"/>
        </w:pBdr>
        <w:spacing w:before="400" w:after="100"/>
      </w:pPr>
      <w:r>
        <w:rPr>
          <w:rFonts w:ascii="Calibri" w:cs="Calibri" w:eastAsia="Calibri" w:hAnsi="Calibri"/>
          <w:b/>
          <w:bCs/>
          <w:color w:val="1B3A5C"/>
          <w:sz w:val="28"/>
          <w:szCs w:val="28"/>
        </w:rPr>
        <w:t xml:space="preserve">3. Aspect Identification</w:t>
      </w:r>
    </w:p>
    <w:p>
      <w:pPr>
        <w:spacing w:after="120" w:line="300"/>
      </w:pPr>
      <w:r>
        <w:rPr>
          <w:rFonts w:ascii="Calibri" w:cs="Calibri" w:eastAsia="Calibri" w:hAnsi="Calibri"/>
          <w:color w:val="333333"/>
          <w:sz w:val="21"/>
          <w:szCs w:val="21"/>
        </w:rPr>
        <w:t xml:space="preserve">Environmental aspects shall be identified considering:</w:t>
      </w:r>
    </w:p>
    <w:p>
      <w:pPr>
        <w:spacing w:after="120" w:line="300"/>
      </w:pPr>
      <w:r>
        <w:rPr>
          <w:rFonts w:ascii="Calibri" w:cs="Calibri" w:eastAsia="Calibri" w:hAnsi="Calibri"/>
          <w:color w:val="333333"/>
          <w:sz w:val="21"/>
          <w:szCs w:val="21"/>
        </w:rPr>
        <w:t xml:space="preserve">a) Emissions to air (including GHG)
b) Releases to water
c) Releases to land
d) Use of raw materials and natural resources
e) Use of energy
f) Generation of waste
g) Noise, vibration, odour, dust
h) Effects on biodiversity</w:t>
      </w:r>
    </w:p>
    <w:p>
      <w:pPr>
        <w:spacing w:after="120" w:line="300"/>
      </w:pPr>
      <w:r>
        <w:rPr>
          <w:rFonts w:ascii="Calibri" w:cs="Calibri" w:eastAsia="Calibri" w:hAnsi="Calibri"/>
          <w:color w:val="333333"/>
          <w:sz w:val="21"/>
          <w:szCs w:val="21"/>
        </w:rPr>
        <w:t xml:space="preserve">Life cycle stages considered: raw material acquisition, design, production, transport, use, end-of-life, disposal.</w:t>
      </w:r>
    </w:p>
    <w:p>
      <w:pPr>
        <w:pStyle w:val="Heading1"/>
        <w:pBdr>
          <w:bottom w:val="single" w:color="E8EFF7" w:sz="1"/>
        </w:pBdr>
        <w:spacing w:before="400" w:after="100"/>
      </w:pPr>
      <w:r>
        <w:rPr>
          <w:rFonts w:ascii="Calibri" w:cs="Calibri" w:eastAsia="Calibri" w:hAnsi="Calibri"/>
          <w:b/>
          <w:bCs/>
          <w:color w:val="1B3A5C"/>
          <w:sz w:val="28"/>
          <w:szCs w:val="28"/>
        </w:rPr>
        <w:t xml:space="preserve">4. Significance Assessment</w:t>
      </w:r>
    </w:p>
    <w:p>
      <w:pPr>
        <w:spacing w:after="120" w:line="300"/>
      </w:pPr>
      <w:r>
        <w:rPr>
          <w:rFonts w:ascii="Calibri" w:cs="Calibri" w:eastAsia="Calibri" w:hAnsi="Calibri"/>
          <w:color w:val="333333"/>
          <w:sz w:val="21"/>
          <w:szCs w:val="21"/>
        </w:rPr>
        <w:t xml:space="preserve">Each aspect is scored using the following criteria (1-5 scale):</w:t>
      </w:r>
    </w:p>
    <w:p>
      <w:pPr>
        <w:spacing w:after="120" w:line="300"/>
      </w:pPr>
      <w:r>
        <w:rPr>
          <w:rFonts w:ascii="Calibri" w:cs="Calibri" w:eastAsia="Calibri" w:hAnsi="Calibri"/>
          <w:color w:val="333333"/>
          <w:sz w:val="21"/>
          <w:szCs w:val="21"/>
        </w:rPr>
        <w:t xml:space="preserve">- Severity of impact
- Probability of occurrence
- Duration/frequency
- Scale/extent
- Reversibility
- Regulatory sensitivity
- Stakeholder concern</w:t>
      </w:r>
    </w:p>
    <w:p>
      <w:pPr>
        <w:spacing w:after="120" w:line="300"/>
      </w:pPr>
      <w:r>
        <w:rPr>
          <w:rFonts w:ascii="Calibri" w:cs="Calibri" w:eastAsia="Calibri" w:hAnsi="Calibri"/>
          <w:color w:val="333333"/>
          <w:sz w:val="21"/>
          <w:szCs w:val="21"/>
        </w:rPr>
        <w:t xml:space="preserve">Significance Score = (Severity x 1.5) + (Probability x 1.5) + Duration + Extent + Reversibility + Regulatory + Stakeholder</w:t>
      </w:r>
    </w:p>
    <w:p>
      <w:pPr>
        <w:spacing w:after="120" w:line="300"/>
      </w:pPr>
      <w:r>
        <w:rPr>
          <w:rFonts w:ascii="Calibri" w:cs="Calibri" w:eastAsia="Calibri" w:hAnsi="Calibri"/>
          <w:color w:val="333333"/>
          <w:sz w:val="21"/>
          <w:szCs w:val="21"/>
        </w:rPr>
        <w:t xml:space="preserve">Score &gt;= 15 = Significant aspect (requires operational controls and objectives)</w:t>
      </w:r>
    </w:p>
    <w:p>
      <w:pPr>
        <w:pStyle w:val="Heading1"/>
        <w:pBdr>
          <w:bottom w:val="single" w:color="E8EFF7" w:sz="1"/>
        </w:pBdr>
        <w:spacing w:before="400" w:after="100"/>
      </w:pPr>
      <w:r>
        <w:rPr>
          <w:rFonts w:ascii="Calibri" w:cs="Calibri" w:eastAsia="Calibri" w:hAnsi="Calibri"/>
          <w:b/>
          <w:bCs/>
          <w:color w:val="1B3A5C"/>
          <w:sz w:val="28"/>
          <w:szCs w:val="28"/>
        </w:rPr>
        <w:t xml:space="preserve">5. Review</w:t>
      </w:r>
    </w:p>
    <w:p>
      <w:pPr>
        <w:spacing w:after="120" w:line="300"/>
      </w:pPr>
      <w:r>
        <w:rPr>
          <w:rFonts w:ascii="Calibri" w:cs="Calibri" w:eastAsia="Calibri" w:hAnsi="Calibri"/>
          <w:color w:val="333333"/>
          <w:sz w:val="21"/>
          <w:szCs w:val="21"/>
        </w:rPr>
        <w:t xml:space="preserve">Aspects register reviewed annually, and whenever there are changes to activities, products, services, legal requirements, or following an environmental incident.</w:t>
      </w:r>
    </w:p>
    <w:sectPr>
      <w:headerReference w:type="default" r:id="rId6"/>
      <w:footerReference w:type="default" r:id="rId7"/>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1"/>
      </w:pBdr>
      <w:spacing w:before="100"/>
      <w:jc w:val="center"/>
    </w:pPr>
    <w:r>
      <w:rPr>
        <w:rFonts w:ascii="Calibri" w:cs="Calibri" w:eastAsia="Calibri" w:hAnsi="Calibri"/>
        <w:color w:val="666666"/>
        <w:sz w:val="14"/>
        <w:szCs w:val="14"/>
      </w:rPr>
      <w:t xml:space="preserve">Confidential — [Company Name]</w:t>
    </w:r>
    <w:r>
      <w:rPr>
        <w:sz w:val="14"/>
        <w:szCs w:val="14"/>
      </w:rPr>
      <w:t xml:space="preserve">    </w:t>
    </w:r>
    <w:r>
      <w:rPr>
        <w:rFonts w:ascii="Calibri" w:cs="Calibri" w:eastAsia="Calibri" w:hAnsi="Calibri"/>
        <w:color w:val="666666"/>
        <w:sz w:val="14"/>
        <w:szCs w:val="14"/>
      </w:rPr>
      <w:t xml:space="preserve">© 2026 [Company Name] — Nexara IMS</w:t>
    </w:r>
    <w:r>
      <w:rPr>
        <w:rFonts w:ascii="Calibri" w:cs="Calibri" w:eastAsia="Calibri" w:hAnsi="Calibri"/>
        <w:color w:val="666666"/>
        <w:sz w:val="14"/>
        <w:szCs w:val="14"/>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1"/>
      </w:pBdr>
      <w:spacing w:after="100"/>
    </w:pPr>
    <w:r>
      <w:rPr>
        <w:rFonts w:ascii="Calibri" w:cs="Calibri" w:eastAsia="Calibri" w:hAnsi="Calibri"/>
        <w:b/>
        <w:bCs/>
        <w:color w:val="1B3A5C"/>
        <w:sz w:val="16"/>
        <w:szCs w:val="16"/>
      </w:rPr>
      <w:t xml:space="preserve">NEXARA IMS</w:t>
    </w:r>
    <w:r>
      <w:rPr>
        <w:rFonts w:ascii="Calibri" w:cs="Calibri" w:eastAsia="Calibri" w:hAnsi="Calibri"/>
        <w:color w:val="666666"/>
        <w:sz w:val="14"/>
        <w:szCs w:val="14"/>
      </w:rPr>
      <w:t xml:space="preserve">    PRO-049  |  v1.0  |  ISO 14001:2015 Clause 6.1.2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2026-02-16T16:24:03.439Z</dcterms:created>
  <dcterms:modified xsi:type="dcterms:W3CDTF">2026-02-16T16:24:03.440Z</dcterms:modified>
</cp:coreProperties>
</file>

<file path=docProps/custom.xml><?xml version="1.0" encoding="utf-8"?>
<Properties xmlns="http://schemas.openxmlformats.org/officeDocument/2006/custom-properties" xmlns:vt="http://schemas.openxmlformats.org/officeDocument/2006/docPropsVTypes"/>
</file>