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Emergency Preparedness &amp; Response — Environmental</w:t>
      </w:r>
    </w:p>
    <w:p>
      <w:pPr>
        <w:spacing w:after="800"/>
        <w:jc w:val="center"/>
      </w:pPr>
      <w:r>
        <w:rPr>
          <w:rFonts w:ascii="Calibri" w:cs="Calibri" w:eastAsia="Calibri" w:hAnsi="Calibri"/>
          <w:color w:val="666666"/>
          <w:sz w:val="24"/>
          <w:szCs w:val="24"/>
        </w:rPr>
        <w:t xml:space="preserve">ISO 14001:2015 Clause 8.2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PRO-050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[Environmental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identify potential emergency situations that can have an environmental impact, plan response actions, mitigate environmental consequences, and periodically test the response arrangements.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Scenario</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Potential Environmental Impact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Likelihood</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Response Plan</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Chemical/fuel spill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Soil/water contamination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Medium</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Spill kit deployment, containment, notify EA</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Fire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Air emissions, firewater contamination</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Low</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Firewater containment, air monitoring</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Flood</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Contaminated runoff, waste dispersal</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Low</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Elevated storage, flood barriers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Equipment failure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Uncontrolled emissions/releases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Medium</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Shutdown procedures, backup systems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Loss of containment</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Ground/water contamination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Low</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Secondary containment, emergency isolation</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3. Response Actions</w:t>
      </w:r>
    </w:p>
    <w:p>
      <w:pPr>
        <w:spacing w:after="120" w:line="300"/>
      </w:pPr>
      <w:r>
        <w:rPr>
          <w:rFonts w:ascii="Calibri" w:cs="Calibri" w:eastAsia="Calibri" w:hAnsi="Calibri"/>
          <w:color w:val="333333"/>
          <w:sz w:val="21"/>
          <w:szCs w:val="21"/>
        </w:rPr>
        <w:t xml:space="preserve">a) Raise alarm and ensure personnel safety
b) Contain the environmental impact (spill kits, isolation valves, shut-off systems)
c) Notify the Environmental Manager and site management immediately
d) Notify external authorities as required (Environment Agency, local authority)
e) Implement remediation actions
f) Investigate root cause and implement corrective actions
g) Update emergency plans based on lessons learned</w:t>
      </w:r>
    </w:p>
    <w:p>
      <w:pPr>
        <w:pStyle w:val="Heading1"/>
        <w:pBdr>
          <w:bottom w:val="single" w:color="E8EFF7" w:sz="1"/>
        </w:pBdr>
        <w:spacing w:before="400" w:after="100"/>
      </w:pPr>
      <w:r>
        <w:rPr>
          <w:rFonts w:ascii="Calibri" w:cs="Calibri" w:eastAsia="Calibri" w:hAnsi="Calibri"/>
          <w:b/>
          <w:bCs/>
          <w:color w:val="1B3A5C"/>
          <w:sz w:val="28"/>
          <w:szCs w:val="28"/>
        </w:rPr>
        <w:t xml:space="preserve">4. Testing &amp; Drills</w:t>
      </w:r>
    </w:p>
    <w:p>
      <w:pPr>
        <w:spacing w:after="120" w:line="300"/>
      </w:pPr>
      <w:r>
        <w:rPr>
          <w:rFonts w:ascii="Calibri" w:cs="Calibri" w:eastAsia="Calibri" w:hAnsi="Calibri"/>
          <w:color w:val="333333"/>
          <w:sz w:val="21"/>
          <w:szCs w:val="21"/>
        </w:rPr>
        <w:t xml:space="preserve">Emergency response drills shall be conducted:
- Spill response drill: Annually
- Desktop exercise: Annually
- Full emergency simulation: Every 2 years</w:t>
      </w:r>
    </w:p>
    <w:p>
      <w:pPr>
        <w:spacing w:after="120" w:line="300"/>
      </w:pPr>
      <w:r>
        <w:rPr>
          <w:rFonts w:ascii="Calibri" w:cs="Calibri" w:eastAsia="Calibri" w:hAnsi="Calibri"/>
          <w:color w:val="333333"/>
          <w:sz w:val="21"/>
          <w:szCs w:val="21"/>
        </w:rPr>
        <w:t xml:space="preserve">Drill results, lessons learned, and improvement actions shall be documented.</w:t>
      </w:r>
    </w:p>
    <w:p>
      <w:pPr>
        <w:pStyle w:val="Heading1"/>
        <w:pBdr>
          <w:bottom w:val="single" w:color="E8EFF7" w:sz="1"/>
        </w:pBdr>
        <w:spacing w:before="400" w:after="100"/>
      </w:pPr>
      <w:r>
        <w:rPr>
          <w:rFonts w:ascii="Calibri" w:cs="Calibri" w:eastAsia="Calibri" w:hAnsi="Calibri"/>
          <w:b/>
          <w:bCs/>
          <w:color w:val="1B3A5C"/>
          <w:sz w:val="28"/>
          <w:szCs w:val="28"/>
        </w:rPr>
        <w:t xml:space="preserve">5. Records</w:t>
      </w:r>
    </w:p>
    <w:p>
      <w:pPr>
        <w:spacing w:after="120" w:line="300"/>
      </w:pPr>
      <w:r>
        <w:rPr>
          <w:rFonts w:ascii="Calibri" w:cs="Calibri" w:eastAsia="Calibri" w:hAnsi="Calibri"/>
          <w:color w:val="333333"/>
          <w:sz w:val="21"/>
          <w:szCs w:val="21"/>
        </w:rPr>
        <w:t xml:space="preserve">Emergency Response Plans, Drill Records, Incident Reports, Corrective Actions. Retained for 7 years.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PRO-050  |  v1.0  |  ISO 14001:2015 Clause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2026-02-16T16:24:03.565Z</dcterms:created>
  <dcterms:modified xsi:type="dcterms:W3CDTF">2026-02-16T16:24:03.565Z</dcterms:modified>
</cp:coreProperties>
</file>

<file path=docProps/custom.xml><?xml version="1.0" encoding="utf-8"?>
<Properties xmlns="http://schemas.openxmlformats.org/officeDocument/2006/custom-properties" xmlns:vt="http://schemas.openxmlformats.org/officeDocument/2006/docPropsVTypes"/>
</file>