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Energy Review Procedure</w:t>
      </w:r>
    </w:p>
    <w:p>
      <w:pPr>
        <w:spacing w:after="800"/>
        <w:jc w:val="center"/>
      </w:pPr>
      <w:r>
        <w:rPr>
          <w:rFonts w:ascii="Calibri" w:cs="Calibri" w:eastAsia="Calibri" w:hAnsi="Calibri"/>
          <w:color w:val="666666"/>
          <w:sz w:val="24"/>
          <w:szCs w:val="24"/>
        </w:rPr>
        <w:t xml:space="preserve">ISO 50001:2018 Clause 6.3</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PRO-058</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[Energy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define the process for conducting energy reviews to analyse energy use and consumption, identify significant energy uses (SEUs), and determine energy performance improvement opportunities.</w:t>
      </w:r>
    </w:p>
    <w:p>
      <w:pPr>
        <w:pStyle w:val="Heading1"/>
        <w:pBdr>
          <w:bottom w:val="single" w:color="E8EFF7" w:sz="1"/>
        </w:pBdr>
        <w:spacing w:before="400" w:after="100"/>
      </w:pPr>
      <w:r>
        <w:rPr>
          <w:rFonts w:ascii="Calibri" w:cs="Calibri" w:eastAsia="Calibri" w:hAnsi="Calibri"/>
          <w:b/>
          <w:bCs/>
          <w:color w:val="1B3A5C"/>
          <w:sz w:val="28"/>
          <w:szCs w:val="28"/>
        </w:rPr>
        <w:t xml:space="preserve">2. Energy Data Collection</w:t>
      </w:r>
    </w:p>
    <w:p>
      <w:pPr>
        <w:spacing w:after="120" w:line="300"/>
      </w:pPr>
      <w:r>
        <w:rPr>
          <w:rFonts w:ascii="Calibri" w:cs="Calibri" w:eastAsia="Calibri" w:hAnsi="Calibri"/>
          <w:color w:val="333333"/>
          <w:sz w:val="21"/>
          <w:szCs w:val="21"/>
        </w:rPr>
        <w:t xml:space="preserve">Data collected and analysed:
a) Energy sources: electricity, natural gas, diesel, LPG, renewables
b) Past and current energy use and consumption (minimum 12 months)
c) Relevant variables affecting SEUs (production volume, weather, occupancy)
d) Energy performance vs. previous periods</w:t>
      </w:r>
    </w:p>
    <w:p>
      <w:pPr>
        <w:pStyle w:val="Heading1"/>
        <w:pBdr>
          <w:bottom w:val="single" w:color="E8EFF7" w:sz="1"/>
        </w:pBdr>
        <w:spacing w:before="400" w:after="100"/>
      </w:pPr>
      <w:r>
        <w:rPr>
          <w:rFonts w:ascii="Calibri" w:cs="Calibri" w:eastAsia="Calibri" w:hAnsi="Calibri"/>
          <w:b/>
          <w:bCs/>
          <w:color w:val="1B3A5C"/>
          <w:sz w:val="28"/>
          <w:szCs w:val="28"/>
        </w:rPr>
        <w:t xml:space="preserve">3. Significant Energy Uses</w:t>
      </w:r>
    </w:p>
    <w:p>
      <w:pPr>
        <w:spacing w:after="120" w:line="300"/>
      </w:pPr>
      <w:r>
        <w:rPr>
          <w:rFonts w:ascii="Calibri" w:cs="Calibri" w:eastAsia="Calibri" w:hAnsi="Calibri"/>
          <w:color w:val="333333"/>
          <w:sz w:val="21"/>
          <w:szCs w:val="21"/>
        </w:rPr>
        <w:t xml:space="preserve">Identification criteria: An energy use is significant if it accounts for:
a) &gt;10% of total energy consumption, OR
b) Has substantial potential for energy performance improvement</w:t>
      </w:r>
    </w:p>
    <w:p>
      <w:pPr>
        <w:spacing w:after="120" w:line="300"/>
      </w:pPr>
      <w:r>
        <w:rPr>
          <w:rFonts w:ascii="Calibri" w:cs="Calibri" w:eastAsia="Calibri" w:hAnsi="Calibri"/>
          <w:color w:val="333333"/>
          <w:sz w:val="21"/>
          <w:szCs w:val="21"/>
        </w:rPr>
        <w:t xml:space="preserve">For each SEU, determine:
- Current energy performance
- Relevant variables affecting performance
- Persons whose actions significantly affect energy performance
- Energy performance indicators (EnPIs) and baselines</w:t>
      </w:r>
    </w:p>
    <w:p>
      <w:pPr>
        <w:pStyle w:val="Heading1"/>
        <w:pBdr>
          <w:bottom w:val="single" w:color="E8EFF7" w:sz="1"/>
        </w:pBdr>
        <w:spacing w:before="400" w:after="100"/>
      </w:pPr>
      <w:r>
        <w:rPr>
          <w:rFonts w:ascii="Calibri" w:cs="Calibri" w:eastAsia="Calibri" w:hAnsi="Calibri"/>
          <w:b/>
          <w:bCs/>
          <w:color w:val="1B3A5C"/>
          <w:sz w:val="28"/>
          <w:szCs w:val="28"/>
        </w:rPr>
        <w:t xml:space="preserve">4. Improvement Opportunities</w:t>
      </w:r>
    </w:p>
    <w:p>
      <w:pPr>
        <w:spacing w:after="120" w:line="300"/>
      </w:pPr>
      <w:r>
        <w:rPr>
          <w:rFonts w:ascii="Calibri" w:cs="Calibri" w:eastAsia="Calibri" w:hAnsi="Calibri"/>
          <w:color w:val="333333"/>
          <w:sz w:val="21"/>
          <w:szCs w:val="21"/>
        </w:rPr>
        <w:t xml:space="preserve">Opportunities are identified through:
a) Energy audits (ISO 50002 methodology)
b) Sub-metering data analysis
c) Benchmarking against industry/best practice
d) Technology reviews
e) Staff suggestions</w:t>
      </w:r>
    </w:p>
    <w:p>
      <w:pPr>
        <w:spacing w:after="120" w:line="300"/>
      </w:pPr>
      <w:r>
        <w:rPr>
          <w:rFonts w:ascii="Calibri" w:cs="Calibri" w:eastAsia="Calibri" w:hAnsi="Calibri"/>
          <w:color w:val="333333"/>
          <w:sz w:val="21"/>
          <w:szCs w:val="21"/>
        </w:rPr>
        <w:t xml:space="preserve">Opportunities are prioritised using energy savings potential, capital cost, payback period, and strategic alignment.</w:t>
      </w:r>
    </w:p>
    <w:p>
      <w:pPr>
        <w:pStyle w:val="Heading1"/>
        <w:pBdr>
          <w:bottom w:val="single" w:color="E8EFF7" w:sz="1"/>
        </w:pBdr>
        <w:spacing w:before="400" w:after="100"/>
      </w:pPr>
      <w:r>
        <w:rPr>
          <w:rFonts w:ascii="Calibri" w:cs="Calibri" w:eastAsia="Calibri" w:hAnsi="Calibri"/>
          <w:b/>
          <w:bCs/>
          <w:color w:val="1B3A5C"/>
          <w:sz w:val="28"/>
          <w:szCs w:val="28"/>
        </w:rPr>
        <w:t xml:space="preserve">5. Energy Review Output</w:t>
      </w:r>
    </w:p>
    <w:p>
      <w:pPr>
        <w:spacing w:after="120" w:line="300"/>
      </w:pPr>
      <w:r>
        <w:rPr>
          <w:rFonts w:ascii="Calibri" w:cs="Calibri" w:eastAsia="Calibri" w:hAnsi="Calibri"/>
          <w:color w:val="333333"/>
          <w:sz w:val="21"/>
          <w:szCs w:val="21"/>
        </w:rPr>
        <w:t xml:space="preserve">The energy review produces:
1. Updated energy balance (Sankey diagram)
2. Updated SEU register
3. EnPIs and baselines
4. Prioritised list of improvement opportunities
5. Recommendations for energy objectives and targets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PRO-058  |  v1.0  |  ISO 50001:2018 Clause 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2026-02-16T16:30:54.723Z</dcterms:created>
  <dcterms:modified xsi:type="dcterms:W3CDTF">2026-02-16T16:30:54.724Z</dcterms:modified>
</cp:coreProperties>
</file>

<file path=docProps/custom.xml><?xml version="1.0" encoding="utf-8"?>
<Properties xmlns="http://schemas.openxmlformats.org/officeDocument/2006/custom-properties" xmlns:vt="http://schemas.openxmlformats.org/officeDocument/2006/docPropsVTypes"/>
</file>