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AI System Lifecycle Management Procedure</w:t>
      </w:r>
    </w:p>
    <w:p>
      <w:pPr>
        <w:spacing w:after="800"/>
        <w:jc w:val="center"/>
      </w:pPr>
      <w:r>
        <w:rPr>
          <w:rFonts w:ascii="Calibri" w:cs="Calibri" w:eastAsia="Calibri" w:hAnsi="Calibri"/>
          <w:color w:val="666666"/>
          <w:sz w:val="24"/>
          <w:szCs w:val="24"/>
        </w:rPr>
        <w:t xml:space="preserve">ISO/IEC 42001:2023 Clause 8.4</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PRO-064</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[AI Governance Lead]</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define the lifecycle management process for AI systems from conception through retirement, ensuring governance, quality, and responsible AI practices at every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Stage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Key Activities</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Governance Gate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Documentation</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 Concept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Business case, feasibility, ethical review</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Governance Board approval</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Business case, initial risk assessment</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2. Design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Data requirements, model architecture, fairness criteria</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Design review</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Design specification, data management plan</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3. Development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Data collection/preparation, model training, testing</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Development review</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Training logs, test results, bias testing</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4. Validation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Performance testing, fairness audit, security testing</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Validation gate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Validation report, AI Impact Assessment</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5. Deployment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Production release, monitoring setup, user training</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Deployment approval</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Deployment plan, monitoring dashboard</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6. Operation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Performance monitoring, drift detection, incident response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Periodic review</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Monitoring reports, incident logs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7. Retirement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Model decommission, data deletion, knowledge capture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Retirement approval</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Retirement report, lessons learned</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3. Data Governance</w:t>
      </w:r>
    </w:p>
    <w:p>
      <w:pPr>
        <w:spacing w:after="120" w:line="300"/>
      </w:pPr>
      <w:r>
        <w:rPr>
          <w:rFonts w:ascii="Calibri" w:cs="Calibri" w:eastAsia="Calibri" w:hAnsi="Calibri"/>
          <w:color w:val="333333"/>
          <w:sz w:val="21"/>
          <w:szCs w:val="21"/>
        </w:rPr>
        <w:t xml:space="preserve">AI training data shall be:
a) Collected and processed lawfully (GDPR compliance)
b) Representative and balanced (bias testing required)
c) Documented (data cards/datasheets)
d) Version controlled
e) Subject to quality checks before use</w:t>
      </w:r>
    </w:p>
    <w:p>
      <w:pPr>
        <w:pStyle w:val="Heading1"/>
        <w:pBdr>
          <w:bottom w:val="single" w:color="E8EFF7" w:sz="1"/>
        </w:pBdr>
        <w:spacing w:before="400" w:after="100"/>
      </w:pPr>
      <w:r>
        <w:rPr>
          <w:rFonts w:ascii="Calibri" w:cs="Calibri" w:eastAsia="Calibri" w:hAnsi="Calibri"/>
          <w:b/>
          <w:bCs/>
          <w:color w:val="1B3A5C"/>
          <w:sz w:val="28"/>
          <w:szCs w:val="28"/>
        </w:rPr>
        <w:t xml:space="preserve">4. Model Governance</w:t>
      </w:r>
    </w:p>
    <w:p>
      <w:pPr>
        <w:spacing w:after="120" w:line="300"/>
      </w:pPr>
      <w:r>
        <w:rPr>
          <w:rFonts w:ascii="Calibri" w:cs="Calibri" w:eastAsia="Calibri" w:hAnsi="Calibri"/>
          <w:color w:val="333333"/>
          <w:sz w:val="21"/>
          <w:szCs w:val="21"/>
        </w:rPr>
        <w:t xml:space="preserve">a) All models version controlled with clear lineage
b) Training reproducible (random seeds, hyperparameters documented)
c) Performance metrics tracked over time (accuracy, fairness metrics, drift)
d) Explainability methods applied appropriate to risk level
e) Human review required for consequential decisions</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PRO-064  |  v1.0  |  ISO/IEC 42001:2023 Clause 8.4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2026-02-16T16:30:55.892Z</dcterms:created>
  <dcterms:modified xsi:type="dcterms:W3CDTF">2026-02-16T16:30:55.892Z</dcterms:modified>
</cp:coreProperties>
</file>

<file path=docProps/custom.xml><?xml version="1.0" encoding="utf-8"?>
<Properties xmlns="http://schemas.openxmlformats.org/officeDocument/2006/custom-properties" xmlns:vt="http://schemas.openxmlformats.org/officeDocument/2006/docPropsVTypes"/>
</file>