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Safe Working Procedure — Working at Height</w:t>
      </w:r>
    </w:p>
    <w:p>
      <w:pPr>
        <w:spacing w:after="800"/>
        <w:jc w:val="center"/>
      </w:pPr>
      <w:r>
        <w:rPr>
          <w:rFonts w:ascii="Calibri" w:cs="Calibri" w:eastAsia="Calibri" w:hAnsi="Calibri"/>
          <w:color w:val="666666"/>
          <w:sz w:val="24"/>
          <w:szCs w:val="24"/>
        </w:rPr>
        <w:t xml:space="preserve">ISO 45001:2018 Clause 8.1.2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SWP-001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[H&amp;S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[Operations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establish safe working practices for all activities involving work at height, ensuring compliance with the Work at Height Regulations 2005 and ISO 45001:2018. This procedure minimises the risk of falls from height, which remain one of the leading causes of workplace fatalities.</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procedure applies to all employees, contractors, and visitors who may work at height or access areas where there is a risk of falling 2 metres or more. It covers use of ladders, scaffolding, mobile elevated work platforms (MEWPs), roof access, and any temporary working platform.</w:t>
      </w:r>
    </w:p>
    <w:p>
      <w:pPr>
        <w:pStyle w:val="Heading1"/>
        <w:pBdr>
          <w:bottom w:val="single" w:color="E8EFF7" w:sz="1"/>
        </w:pBdr>
        <w:spacing w:before="400" w:after="100"/>
      </w:pPr>
      <w:r>
        <w:rPr>
          <w:rFonts w:ascii="Calibri" w:cs="Calibri" w:eastAsia="Calibri" w:hAnsi="Calibri"/>
          <w:b/>
          <w:bCs/>
          <w:color w:val="1B3A5C"/>
          <w:sz w:val="28"/>
          <w:szCs w:val="28"/>
        </w:rPr>
        <w:t xml:space="preserve">3. Definitions</w:t>
      </w:r>
    </w:p>
    <w:p>
      <w:pPr>
        <w:pStyle w:val="ListParagraph"/>
        <w:numPr>
          <w:ilvl w:val="0"/>
          <w:numId w:val="1"/>
        </w:numPr>
        <w:spacing w:after="60" w:line="280"/>
      </w:pPr>
      <w:r>
        <w:rPr>
          <w:rFonts w:ascii="Calibri" w:cs="Calibri" w:eastAsia="Calibri" w:hAnsi="Calibri"/>
          <w:color w:val="333333"/>
          <w:sz w:val="21"/>
          <w:szCs w:val="21"/>
        </w:rPr>
        <w:t xml:space="preserve">Work at Height: Any work where a person could fall a distance liable to cause personal injury, including working above, at, or below ground level</w:t>
      </w:r>
    </w:p>
    <w:p>
      <w:pPr>
        <w:pStyle w:val="ListParagraph"/>
        <w:numPr>
          <w:ilvl w:val="0"/>
          <w:numId w:val="1"/>
        </w:numPr>
        <w:spacing w:after="60" w:line="280"/>
      </w:pPr>
      <w:r>
        <w:rPr>
          <w:rFonts w:ascii="Calibri" w:cs="Calibri" w:eastAsia="Calibri" w:hAnsi="Calibri"/>
          <w:color w:val="333333"/>
          <w:sz w:val="21"/>
          <w:szCs w:val="21"/>
        </w:rPr>
        <w:t xml:space="preserve">MEWP: Mobile Elevated Work Platform (cherry picker, scissor lift)</w:t>
      </w:r>
    </w:p>
    <w:p>
      <w:pPr>
        <w:pStyle w:val="ListParagraph"/>
        <w:numPr>
          <w:ilvl w:val="0"/>
          <w:numId w:val="1"/>
        </w:numPr>
        <w:spacing w:after="60" w:line="280"/>
      </w:pPr>
      <w:r>
        <w:rPr>
          <w:rFonts w:ascii="Calibri" w:cs="Calibri" w:eastAsia="Calibri" w:hAnsi="Calibri"/>
          <w:color w:val="333333"/>
          <w:sz w:val="21"/>
          <w:szCs w:val="21"/>
        </w:rPr>
        <w:t xml:space="preserve">Fall Arrest System: Personal protective equipment designed to arrest a fall (harness, lanyard, anchor)</w:t>
      </w:r>
    </w:p>
    <w:p>
      <w:pPr>
        <w:pStyle w:val="ListParagraph"/>
        <w:numPr>
          <w:ilvl w:val="0"/>
          <w:numId w:val="1"/>
        </w:numPr>
        <w:spacing w:after="60" w:line="280"/>
      </w:pPr>
      <w:r>
        <w:rPr>
          <w:rFonts w:ascii="Calibri" w:cs="Calibri" w:eastAsia="Calibri" w:hAnsi="Calibri"/>
          <w:color w:val="333333"/>
          <w:sz w:val="21"/>
          <w:szCs w:val="21"/>
        </w:rPr>
        <w:t xml:space="preserve">Edge Protection: Guardrails, toe boards, and barriers preventing falls from edges</w:t>
      </w:r>
    </w:p>
    <w:p>
      <w:pPr>
        <w:pStyle w:val="ListParagraph"/>
        <w:numPr>
          <w:ilvl w:val="0"/>
          <w:numId w:val="1"/>
        </w:numPr>
        <w:spacing w:after="60" w:line="280"/>
      </w:pPr>
      <w:r>
        <w:rPr>
          <w:rFonts w:ascii="Calibri" w:cs="Calibri" w:eastAsia="Calibri" w:hAnsi="Calibri"/>
          <w:color w:val="333333"/>
          <w:sz w:val="21"/>
          <w:szCs w:val="21"/>
        </w:rPr>
        <w:t xml:space="preserve">Rescue Plan: Pre-planned procedure for rescuing a person who has fallen and is suspended in a harness</w:t>
      </w:r>
    </w:p>
    <w:p>
      <w:pPr>
        <w:pStyle w:val="Heading1"/>
        <w:pBdr>
          <w:bottom w:val="single" w:color="E8EFF7" w:sz="1"/>
        </w:pBdr>
        <w:spacing w:before="400" w:after="100"/>
      </w:pPr>
      <w:r>
        <w:rPr>
          <w:rFonts w:ascii="Calibri" w:cs="Calibri" w:eastAsia="Calibri" w:hAnsi="Calibri"/>
          <w:b/>
          <w:bCs/>
          <w:color w:val="1B3A5C"/>
          <w:sz w:val="28"/>
          <w:szCs w:val="28"/>
        </w:rPr>
        <w:t xml:space="preserve">4. Hazards &amp; Risks</w:t>
      </w:r>
    </w:p>
    <w:p>
      <w:pPr>
        <w:spacing w:after="120" w:line="300"/>
      </w:pPr>
      <w:r>
        <w:rPr>
          <w:rFonts w:ascii="Calibri" w:cs="Calibri" w:eastAsia="Calibri" w:hAnsi="Calibri"/>
          <w:color w:val="333333"/>
          <w:sz w:val="21"/>
          <w:szCs w:val="21"/>
        </w:rPr>
        <w:t xml:space="preserve">The following hazards have been identified:</w:t>
      </w:r>
    </w:p>
    <w:p>
      <w:pPr>
        <w:pStyle w:val="ListParagraph"/>
        <w:numPr>
          <w:ilvl w:val="0"/>
          <w:numId w:val="1"/>
        </w:numPr>
        <w:spacing w:after="60" w:line="280"/>
      </w:pPr>
      <w:r>
        <w:rPr>
          <w:rFonts w:ascii="Calibri" w:cs="Calibri" w:eastAsia="Calibri" w:hAnsi="Calibri"/>
          <w:color w:val="333333"/>
          <w:sz w:val="21"/>
          <w:szCs w:val="21"/>
        </w:rPr>
        <w:t xml:space="preserve">Falls from height — fractures, head injuries, fatalities</w:t>
      </w:r>
    </w:p>
    <w:p>
      <w:pPr>
        <w:pStyle w:val="ListParagraph"/>
        <w:numPr>
          <w:ilvl w:val="0"/>
          <w:numId w:val="1"/>
        </w:numPr>
        <w:spacing w:after="60" w:line="280"/>
      </w:pPr>
      <w:r>
        <w:rPr>
          <w:rFonts w:ascii="Calibri" w:cs="Calibri" w:eastAsia="Calibri" w:hAnsi="Calibri"/>
          <w:color w:val="333333"/>
          <w:sz w:val="21"/>
          <w:szCs w:val="21"/>
        </w:rPr>
        <w:t xml:space="preserve">Falling objects — injuries to persons below</w:t>
      </w:r>
    </w:p>
    <w:p>
      <w:pPr>
        <w:pStyle w:val="ListParagraph"/>
        <w:numPr>
          <w:ilvl w:val="0"/>
          <w:numId w:val="1"/>
        </w:numPr>
        <w:spacing w:after="60" w:line="280"/>
      </w:pPr>
      <w:r>
        <w:rPr>
          <w:rFonts w:ascii="Calibri" w:cs="Calibri" w:eastAsia="Calibri" w:hAnsi="Calibri"/>
          <w:color w:val="333333"/>
          <w:sz w:val="21"/>
          <w:szCs w:val="21"/>
        </w:rPr>
        <w:t xml:space="preserve">Structural collapse of working platforms — multiple casualties</w:t>
      </w:r>
    </w:p>
    <w:p>
      <w:pPr>
        <w:pStyle w:val="ListParagraph"/>
        <w:numPr>
          <w:ilvl w:val="0"/>
          <w:numId w:val="1"/>
        </w:numPr>
        <w:spacing w:after="60" w:line="280"/>
      </w:pPr>
      <w:r>
        <w:rPr>
          <w:rFonts w:ascii="Calibri" w:cs="Calibri" w:eastAsia="Calibri" w:hAnsi="Calibri"/>
          <w:color w:val="333333"/>
          <w:sz w:val="21"/>
          <w:szCs w:val="21"/>
        </w:rPr>
        <w:t xml:space="preserve">Overreaching/overbalancing on ladders — falls</w:t>
      </w:r>
    </w:p>
    <w:p>
      <w:pPr>
        <w:pStyle w:val="ListParagraph"/>
        <w:numPr>
          <w:ilvl w:val="0"/>
          <w:numId w:val="1"/>
        </w:numPr>
        <w:spacing w:after="60" w:line="280"/>
      </w:pPr>
      <w:r>
        <w:rPr>
          <w:rFonts w:ascii="Calibri" w:cs="Calibri" w:eastAsia="Calibri" w:hAnsi="Calibri"/>
          <w:color w:val="333333"/>
          <w:sz w:val="21"/>
          <w:szCs w:val="21"/>
        </w:rPr>
        <w:t xml:space="preserve">Weather conditions (wind, rain, ice) — increased slip/fall risk</w:t>
      </w:r>
    </w:p>
    <w:p>
      <w:pPr>
        <w:pStyle w:val="ListParagraph"/>
        <w:numPr>
          <w:ilvl w:val="0"/>
          <w:numId w:val="1"/>
        </w:numPr>
        <w:spacing w:after="60" w:line="280"/>
      </w:pPr>
      <w:r>
        <w:rPr>
          <w:rFonts w:ascii="Calibri" w:cs="Calibri" w:eastAsia="Calibri" w:hAnsi="Calibri"/>
          <w:color w:val="333333"/>
          <w:sz w:val="21"/>
          <w:szCs w:val="21"/>
        </w:rPr>
        <w:t xml:space="preserve">Electrical contact — overhead power lines near MEWPs</w:t>
      </w:r>
    </w:p>
    <w:p>
      <w:pPr>
        <w:pStyle w:val="ListParagraph"/>
        <w:numPr>
          <w:ilvl w:val="0"/>
          <w:numId w:val="1"/>
        </w:numPr>
        <w:spacing w:after="60" w:line="280"/>
      </w:pPr>
      <w:r>
        <w:rPr>
          <w:rFonts w:ascii="Calibri" w:cs="Calibri" w:eastAsia="Calibri" w:hAnsi="Calibri"/>
          <w:color w:val="333333"/>
          <w:sz w:val="21"/>
          <w:szCs w:val="21"/>
        </w:rPr>
        <w:t xml:space="preserve">Suspension trauma — following arrested fall in harness</w:t>
      </w:r>
    </w:p>
    <w:p>
      <w:pPr>
        <w:pStyle w:val="Heading1"/>
        <w:pBdr>
          <w:bottom w:val="single" w:color="E8EFF7" w:sz="1"/>
        </w:pBdr>
        <w:spacing w:before="400" w:after="100"/>
      </w:pPr>
      <w:r>
        <w:rPr>
          <w:rFonts w:ascii="Calibri" w:cs="Calibri" w:eastAsia="Calibri" w:hAnsi="Calibri"/>
          <w:b/>
          <w:bCs/>
          <w:color w:val="1B3A5C"/>
          <w:sz w:val="28"/>
          <w:szCs w:val="28"/>
        </w:rPr>
        <w:t xml:space="preserve">5. Control Measures</w:t>
      </w:r>
    </w:p>
    <w:p>
      <w:pPr>
        <w:pStyle w:val="Heading2"/>
        <w:spacing w:before="200" w:after="100"/>
      </w:pPr>
      <w:r>
        <w:rPr>
          <w:rFonts w:ascii="Calibri" w:cs="Calibri" w:eastAsia="Calibri" w:hAnsi="Calibri"/>
          <w:b/>
          <w:bCs/>
          <w:color w:val="1B3A5C"/>
          <w:sz w:val="24"/>
          <w:szCs w:val="24"/>
        </w:rPr>
        <w:t xml:space="preserve">5.1 Hierarchy of Control</w:t>
      </w:r>
    </w:p>
    <w:p>
      <w:pPr>
        <w:spacing w:after="120" w:line="300"/>
      </w:pPr>
      <w:r>
        <w:rPr>
          <w:rFonts w:ascii="Calibri" w:cs="Calibri" w:eastAsia="Calibri" w:hAnsi="Calibri"/>
          <w:color w:val="333333"/>
          <w:sz w:val="21"/>
          <w:szCs w:val="21"/>
        </w:rPr>
        <w:t xml:space="preserve">Apply the hierarchy:</w:t>
      </w:r>
    </w:p>
    <w:p>
      <w:pPr>
        <w:spacing w:after="120" w:line="300"/>
      </w:pPr>
      <w:r>
        <w:rPr>
          <w:rFonts w:ascii="Calibri" w:cs="Calibri" w:eastAsia="Calibri" w:hAnsi="Calibri"/>
          <w:color w:val="333333"/>
          <w:sz w:val="21"/>
          <w:szCs w:val="21"/>
        </w:rPr>
        <w:t xml:space="preserve">a) AVOID work at height where reasonably practicable
b) PREVENT falls using edge protection, guardrails, scaffolding
c) MINIMISE fall distance and consequences using fall arrest, safety nets
d) Use collective measures (scaffolding, nets) before personal measures (harnesses)</w:t>
      </w:r>
    </w:p>
    <w:p>
      <w:pPr>
        <w:pStyle w:val="Heading2"/>
        <w:spacing w:before="200" w:after="100"/>
      </w:pPr>
      <w:r>
        <w:rPr>
          <w:rFonts w:ascii="Calibri" w:cs="Calibri" w:eastAsia="Calibri" w:hAnsi="Calibri"/>
          <w:b/>
          <w:bCs/>
          <w:color w:val="1B3A5C"/>
          <w:sz w:val="24"/>
          <w:szCs w:val="24"/>
        </w:rPr>
        <w:t xml:space="preserve">5.2 Pre-Work Requirements</w:t>
      </w:r>
    </w:p>
    <w:p>
      <w:pPr>
        <w:pStyle w:val="ListParagraph"/>
        <w:numPr>
          <w:ilvl w:val="0"/>
          <w:numId w:val="1"/>
        </w:numPr>
        <w:spacing w:after="60" w:line="280"/>
      </w:pPr>
      <w:r>
        <w:rPr>
          <w:rFonts w:ascii="Calibri" w:cs="Calibri" w:eastAsia="Calibri" w:hAnsi="Calibri"/>
          <w:color w:val="333333"/>
          <w:sz w:val="21"/>
          <w:szCs w:val="21"/>
        </w:rPr>
        <w:t xml:space="preserve">Complete a Working at Height Risk Assessment (FRM-002) before any work at height</w:t>
      </w:r>
    </w:p>
    <w:p>
      <w:pPr>
        <w:pStyle w:val="ListParagraph"/>
        <w:numPr>
          <w:ilvl w:val="0"/>
          <w:numId w:val="1"/>
        </w:numPr>
        <w:spacing w:after="60" w:line="280"/>
      </w:pPr>
      <w:r>
        <w:rPr>
          <w:rFonts w:ascii="Calibri" w:cs="Calibri" w:eastAsia="Calibri" w:hAnsi="Calibri"/>
          <w:color w:val="333333"/>
          <w:sz w:val="21"/>
          <w:szCs w:val="21"/>
        </w:rPr>
        <w:t xml:space="preserve">Obtain a Permit to Work (FRM-006) for work above 4 metres or on fragile surfaces</w:t>
      </w:r>
    </w:p>
    <w:p>
      <w:pPr>
        <w:pStyle w:val="ListParagraph"/>
        <w:numPr>
          <w:ilvl w:val="0"/>
          <w:numId w:val="1"/>
        </w:numPr>
        <w:spacing w:after="60" w:line="280"/>
      </w:pPr>
      <w:r>
        <w:rPr>
          <w:rFonts w:ascii="Calibri" w:cs="Calibri" w:eastAsia="Calibri" w:hAnsi="Calibri"/>
          <w:color w:val="333333"/>
          <w:sz w:val="21"/>
          <w:szCs w:val="21"/>
        </w:rPr>
        <w:t xml:space="preserve">Verify all personnel hold valid Working at Height training (within 3 years)</w:t>
      </w:r>
    </w:p>
    <w:p>
      <w:pPr>
        <w:pStyle w:val="ListParagraph"/>
        <w:numPr>
          <w:ilvl w:val="0"/>
          <w:numId w:val="1"/>
        </w:numPr>
        <w:spacing w:after="60" w:line="280"/>
      </w:pPr>
      <w:r>
        <w:rPr>
          <w:rFonts w:ascii="Calibri" w:cs="Calibri" w:eastAsia="Calibri" w:hAnsi="Calibri"/>
          <w:color w:val="333333"/>
          <w:sz w:val="21"/>
          <w:szCs w:val="21"/>
        </w:rPr>
        <w:t xml:space="preserve">Check weather forecast — suspend work if wind speed exceeds 23 mph (37 km/h)</w:t>
      </w:r>
    </w:p>
    <w:p>
      <w:pPr>
        <w:pStyle w:val="ListParagraph"/>
        <w:numPr>
          <w:ilvl w:val="0"/>
          <w:numId w:val="1"/>
        </w:numPr>
        <w:spacing w:after="60" w:line="280"/>
      </w:pPr>
      <w:r>
        <w:rPr>
          <w:rFonts w:ascii="Calibri" w:cs="Calibri" w:eastAsia="Calibri" w:hAnsi="Calibri"/>
          <w:color w:val="333333"/>
          <w:sz w:val="21"/>
          <w:szCs w:val="21"/>
        </w:rPr>
        <w:t xml:space="preserve">Establish exclusion zone below work area — minimum 2m radius from edges</w:t>
      </w:r>
    </w:p>
    <w:p>
      <w:pPr>
        <w:pStyle w:val="ListParagraph"/>
        <w:numPr>
          <w:ilvl w:val="0"/>
          <w:numId w:val="1"/>
        </w:numPr>
        <w:spacing w:after="60" w:line="280"/>
      </w:pPr>
      <w:r>
        <w:rPr>
          <w:rFonts w:ascii="Calibri" w:cs="Calibri" w:eastAsia="Calibri" w:hAnsi="Calibri"/>
          <w:color w:val="333333"/>
          <w:sz w:val="21"/>
          <w:szCs w:val="21"/>
        </w:rPr>
        <w:t xml:space="preserve">Brief all workers on the specific Rescue Plan before work commences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Equipment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Inspection Frequency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Inspector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Record</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Ladders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Before each use + monthly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Competent person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Ladder inspection tag</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Scaffolding</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Before first use + weekly + after adverse weather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Scaffold inspector (CISRS)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Scaffold register</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MEWPs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Daily pre-use check + 6-monthly LOLER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Operator + competent person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MEWP log book</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Harnesses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Before each use + 6-monthly detailed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Competent person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Harness inspection register</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Lanyards/SRLs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Before each use + 6-monthly detailed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Competent person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PPE register</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Safety nets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Weekly + after any impact</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Competent person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Net inspection log</w:t>
            </w:r>
          </w:p>
        </w:tc>
      </w:tr>
    </w:tbl>
    <w:p>
      <w:pPr>
        <w:spacing w:after="200"/>
      </w:pPr>
    </w:p>
    <w:p>
      <w:pPr>
        <w:pStyle w:val="Heading2"/>
        <w:spacing w:before="200" w:after="100"/>
      </w:pPr>
      <w:r>
        <w:rPr>
          <w:rFonts w:ascii="Calibri" w:cs="Calibri" w:eastAsia="Calibri" w:hAnsi="Calibri"/>
          <w:b/>
          <w:bCs/>
          <w:color w:val="1B3A5C"/>
          <w:sz w:val="24"/>
          <w:szCs w:val="24"/>
        </w:rPr>
        <w:t xml:space="preserve">5.4 During Work</w:t>
      </w:r>
    </w:p>
    <w:p>
      <w:pPr>
        <w:pStyle w:val="ListParagraph"/>
        <w:numPr>
          <w:ilvl w:val="0"/>
          <w:numId w:val="1"/>
        </w:numPr>
        <w:spacing w:after="60" w:line="280"/>
      </w:pPr>
      <w:r>
        <w:rPr>
          <w:rFonts w:ascii="Calibri" w:cs="Calibri" w:eastAsia="Calibri" w:hAnsi="Calibri"/>
          <w:color w:val="333333"/>
          <w:sz w:val="21"/>
          <w:szCs w:val="21"/>
        </w:rPr>
        <w:t xml:space="preserve">Never work alone at height — maintain visual/verbal contact with ground person</w:t>
      </w:r>
    </w:p>
    <w:p>
      <w:pPr>
        <w:pStyle w:val="ListParagraph"/>
        <w:numPr>
          <w:ilvl w:val="0"/>
          <w:numId w:val="1"/>
        </w:numPr>
        <w:spacing w:after="60" w:line="280"/>
      </w:pPr>
      <w:r>
        <w:rPr>
          <w:rFonts w:ascii="Calibri" w:cs="Calibri" w:eastAsia="Calibri" w:hAnsi="Calibri"/>
          <w:color w:val="333333"/>
          <w:sz w:val="21"/>
          <w:szCs w:val="21"/>
        </w:rPr>
        <w:t xml:space="preserve">Maintain 3 points of contact on ladders at all times</w:t>
      </w:r>
    </w:p>
    <w:p>
      <w:pPr>
        <w:pStyle w:val="ListParagraph"/>
        <w:numPr>
          <w:ilvl w:val="0"/>
          <w:numId w:val="1"/>
        </w:numPr>
        <w:spacing w:after="60" w:line="280"/>
      </w:pPr>
      <w:r>
        <w:rPr>
          <w:rFonts w:ascii="Calibri" w:cs="Calibri" w:eastAsia="Calibri" w:hAnsi="Calibri"/>
          <w:color w:val="333333"/>
          <w:sz w:val="21"/>
          <w:szCs w:val="21"/>
        </w:rPr>
        <w:t xml:space="preserve">Secure all tools and materials to prevent falling objects — use tool lanyards</w:t>
      </w:r>
    </w:p>
    <w:p>
      <w:pPr>
        <w:pStyle w:val="ListParagraph"/>
        <w:numPr>
          <w:ilvl w:val="0"/>
          <w:numId w:val="1"/>
        </w:numPr>
        <w:spacing w:after="60" w:line="280"/>
      </w:pPr>
      <w:r>
        <w:rPr>
          <w:rFonts w:ascii="Calibri" w:cs="Calibri" w:eastAsia="Calibri" w:hAnsi="Calibri"/>
          <w:color w:val="333333"/>
          <w:sz w:val="21"/>
          <w:szCs w:val="21"/>
        </w:rPr>
        <w:t xml:space="preserve">Do not overload working platforms beyond their rated capacity</w:t>
      </w:r>
    </w:p>
    <w:p>
      <w:pPr>
        <w:pStyle w:val="ListParagraph"/>
        <w:numPr>
          <w:ilvl w:val="0"/>
          <w:numId w:val="1"/>
        </w:numPr>
        <w:spacing w:after="60" w:line="280"/>
      </w:pPr>
      <w:r>
        <w:rPr>
          <w:rFonts w:ascii="Calibri" w:cs="Calibri" w:eastAsia="Calibri" w:hAnsi="Calibri"/>
          <w:color w:val="333333"/>
          <w:sz w:val="21"/>
          <w:szCs w:val="21"/>
        </w:rPr>
        <w:t xml:space="preserve">Report any defects in equipment immediately — tag out and remove from service</w:t>
      </w:r>
    </w:p>
    <w:p>
      <w:pPr>
        <w:pStyle w:val="ListParagraph"/>
        <w:numPr>
          <w:ilvl w:val="0"/>
          <w:numId w:val="1"/>
        </w:numPr>
        <w:spacing w:after="60" w:line="280"/>
      </w:pPr>
      <w:r>
        <w:rPr>
          <w:rFonts w:ascii="Calibri" w:cs="Calibri" w:eastAsia="Calibri" w:hAnsi="Calibri"/>
          <w:color w:val="333333"/>
          <w:sz w:val="21"/>
          <w:szCs w:val="21"/>
        </w:rPr>
        <w:t xml:space="preserve">Do not work at height under the influence of alcohol, drugs, or medication causing drowsiness</w:t>
      </w:r>
    </w:p>
    <w:p>
      <w:pPr>
        <w:pStyle w:val="Heading1"/>
        <w:pBdr>
          <w:bottom w:val="single" w:color="E8EFF7" w:sz="1"/>
        </w:pBdr>
        <w:spacing w:before="400" w:after="100"/>
      </w:pPr>
      <w:r>
        <w:rPr>
          <w:rFonts w:ascii="Calibri" w:cs="Calibri" w:eastAsia="Calibri" w:hAnsi="Calibri"/>
          <w:b/>
          <w:bCs/>
          <w:color w:val="1B3A5C"/>
          <w:sz w:val="28"/>
          <w:szCs w:val="28"/>
        </w:rPr>
        <w:t xml:space="preserve">6. Emergency &amp; Rescue Procedures</w:t>
      </w:r>
    </w:p>
    <w:p>
      <w:pPr>
        <w:spacing w:after="120" w:line="300"/>
      </w:pPr>
      <w:r>
        <w:rPr>
          <w:rFonts w:ascii="Calibri" w:cs="Calibri" w:eastAsia="Calibri" w:hAnsi="Calibri"/>
          <w:color w:val="333333"/>
          <w:sz w:val="21"/>
          <w:szCs w:val="21"/>
        </w:rPr>
        <w:t xml:space="preserve">A documented Rescue Plan must be in place before any work at height begins.</w:t>
      </w:r>
    </w:p>
    <w:p>
      <w:pPr>
        <w:spacing w:after="120" w:line="300"/>
      </w:pPr>
      <w:r>
        <w:rPr>
          <w:rFonts w:ascii="Calibri" w:cs="Calibri" w:eastAsia="Calibri" w:hAnsi="Calibri"/>
          <w:color w:val="333333"/>
          <w:sz w:val="21"/>
          <w:szCs w:val="21"/>
        </w:rPr>
        <w:t xml:space="preserve">a) Suspension trauma can occur within 15 minutes — rescue must be achievable within this timeframe
b) Designated rescue equipment must be available on site (rescue kit, descent device)
c) At least 2 persons trained in the rescue procedure must be present
d) Call emergency services immediately for any fall resulting in injury
e) Preserve the scene for investigation — do not move equipment unless necessary for rescue</w:t>
      </w:r>
    </w:p>
    <w:p>
      <w:pPr>
        <w:pStyle w:val="Heading1"/>
        <w:pBdr>
          <w:bottom w:val="single" w:color="E8EFF7" w:sz="1"/>
        </w:pBdr>
        <w:spacing w:before="400" w:after="100"/>
      </w:pPr>
      <w:r>
        <w:rPr>
          <w:rFonts w:ascii="Calibri" w:cs="Calibri" w:eastAsia="Calibri" w:hAnsi="Calibri"/>
          <w:b/>
          <w:bCs/>
          <w:color w:val="1B3A5C"/>
          <w:sz w:val="28"/>
          <w:szCs w:val="28"/>
        </w:rPr>
        <w:t xml:space="preserve">7. Training Requirements</w:t>
      </w:r>
    </w:p>
    <w:p>
      <w:pPr>
        <w:pStyle w:val="ListParagraph"/>
        <w:numPr>
          <w:ilvl w:val="0"/>
          <w:numId w:val="1"/>
        </w:numPr>
        <w:spacing w:after="60" w:line="280"/>
      </w:pPr>
      <w:r>
        <w:rPr>
          <w:rFonts w:ascii="Calibri" w:cs="Calibri" w:eastAsia="Calibri" w:hAnsi="Calibri"/>
          <w:color w:val="333333"/>
          <w:sz w:val="21"/>
          <w:szCs w:val="21"/>
        </w:rPr>
        <w:t xml:space="preserve">Working at Height Awareness — all employees who may work at height (refresher every 3 years)</w:t>
      </w:r>
    </w:p>
    <w:p>
      <w:pPr>
        <w:pStyle w:val="ListParagraph"/>
        <w:numPr>
          <w:ilvl w:val="0"/>
          <w:numId w:val="1"/>
        </w:numPr>
        <w:spacing w:after="60" w:line="280"/>
      </w:pPr>
      <w:r>
        <w:rPr>
          <w:rFonts w:ascii="Calibri" w:cs="Calibri" w:eastAsia="Calibri" w:hAnsi="Calibri"/>
          <w:color w:val="333333"/>
          <w:sz w:val="21"/>
          <w:szCs w:val="21"/>
        </w:rPr>
        <w:t xml:space="preserve">Ladder Safety — all ladder users</w:t>
      </w:r>
    </w:p>
    <w:p>
      <w:pPr>
        <w:pStyle w:val="ListParagraph"/>
        <w:numPr>
          <w:ilvl w:val="0"/>
          <w:numId w:val="1"/>
        </w:numPr>
        <w:spacing w:after="60" w:line="280"/>
      </w:pPr>
      <w:r>
        <w:rPr>
          <w:rFonts w:ascii="Calibri" w:cs="Calibri" w:eastAsia="Calibri" w:hAnsi="Calibri"/>
          <w:color w:val="333333"/>
          <w:sz w:val="21"/>
          <w:szCs w:val="21"/>
        </w:rPr>
        <w:t xml:space="preserve">Scaffold User/Inspector — as applicable (CISRS card)</w:t>
      </w:r>
    </w:p>
    <w:p>
      <w:pPr>
        <w:pStyle w:val="ListParagraph"/>
        <w:numPr>
          <w:ilvl w:val="0"/>
          <w:numId w:val="1"/>
        </w:numPr>
        <w:spacing w:after="60" w:line="280"/>
      </w:pPr>
      <w:r>
        <w:rPr>
          <w:rFonts w:ascii="Calibri" w:cs="Calibri" w:eastAsia="Calibri" w:hAnsi="Calibri"/>
          <w:color w:val="333333"/>
          <w:sz w:val="21"/>
          <w:szCs w:val="21"/>
        </w:rPr>
        <w:t xml:space="preserve">MEWP Operator — IPAF certified for each category of MEWP used</w:t>
      </w:r>
    </w:p>
    <w:p>
      <w:pPr>
        <w:pStyle w:val="ListParagraph"/>
        <w:numPr>
          <w:ilvl w:val="0"/>
          <w:numId w:val="1"/>
        </w:numPr>
        <w:spacing w:after="60" w:line="280"/>
      </w:pPr>
      <w:r>
        <w:rPr>
          <w:rFonts w:ascii="Calibri" w:cs="Calibri" w:eastAsia="Calibri" w:hAnsi="Calibri"/>
          <w:color w:val="333333"/>
          <w:sz w:val="21"/>
          <w:szCs w:val="21"/>
        </w:rPr>
        <w:t xml:space="preserve">Harness Use &amp; Inspection — all users of fall arrest equipment</w:t>
      </w:r>
    </w:p>
    <w:p>
      <w:pPr>
        <w:pStyle w:val="ListParagraph"/>
        <w:numPr>
          <w:ilvl w:val="0"/>
          <w:numId w:val="1"/>
        </w:numPr>
        <w:spacing w:after="60" w:line="280"/>
      </w:pPr>
      <w:r>
        <w:rPr>
          <w:rFonts w:ascii="Calibri" w:cs="Calibri" w:eastAsia="Calibri" w:hAnsi="Calibri"/>
          <w:color w:val="333333"/>
          <w:sz w:val="21"/>
          <w:szCs w:val="21"/>
        </w:rPr>
        <w:t xml:space="preserve">Rescue from Height — designated rescue team members</w:t>
      </w:r>
    </w:p>
    <w:p>
      <w:pPr>
        <w:pStyle w:val="Heading1"/>
        <w:pBdr>
          <w:bottom w:val="single" w:color="E8EFF7" w:sz="1"/>
        </w:pBdr>
        <w:spacing w:before="400" w:after="100"/>
      </w:pPr>
      <w:r>
        <w:rPr>
          <w:rFonts w:ascii="Calibri" w:cs="Calibri" w:eastAsia="Calibri" w:hAnsi="Calibri"/>
          <w:b/>
          <w:bCs/>
          <w:color w:val="1B3A5C"/>
          <w:sz w:val="28"/>
          <w:szCs w:val="28"/>
        </w:rPr>
        <w:t xml:space="preserve">8. Monitoring &amp; Review</w:t>
      </w:r>
    </w:p>
    <w:p>
      <w:pPr>
        <w:spacing w:after="120" w:line="300"/>
      </w:pPr>
      <w:r>
        <w:rPr>
          <w:rFonts w:ascii="Calibri" w:cs="Calibri" w:eastAsia="Calibri" w:hAnsi="Calibri"/>
          <w:color w:val="333333"/>
          <w:sz w:val="21"/>
          <w:szCs w:val="21"/>
        </w:rPr>
        <w:t xml:space="preserve">This procedure shall be reviewed annually or following any incident involving a fall from height. The H&amp;S Manager shall conduct periodic inspections of work at height activities and maintain records of compliance.</w:t>
      </w:r>
    </w:p>
    <w:p>
      <w:pPr>
        <w:pStyle w:val="Heading1"/>
        <w:pBdr>
          <w:bottom w:val="single" w:color="E8EFF7" w:sz="1"/>
        </w:pBdr>
        <w:spacing w:before="400" w:after="100"/>
      </w:pPr>
      <w:r>
        <w:rPr>
          <w:rFonts w:ascii="Calibri" w:cs="Calibri" w:eastAsia="Calibri" w:hAnsi="Calibri"/>
          <w:b/>
          <w:bCs/>
          <w:color w:val="1B3A5C"/>
          <w:sz w:val="28"/>
          <w:szCs w:val="28"/>
        </w:rPr>
        <w:t xml:space="preserve">9. Related Documents</w:t>
      </w:r>
    </w:p>
    <w:p>
      <w:pPr>
        <w:pStyle w:val="ListParagraph"/>
        <w:numPr>
          <w:ilvl w:val="0"/>
          <w:numId w:val="1"/>
        </w:numPr>
        <w:spacing w:after="60" w:line="280"/>
      </w:pPr>
      <w:r>
        <w:rPr>
          <w:rFonts w:ascii="Calibri" w:cs="Calibri" w:eastAsia="Calibri" w:hAnsi="Calibri"/>
          <w:color w:val="333333"/>
          <w:sz w:val="21"/>
          <w:szCs w:val="21"/>
        </w:rPr>
        <w:t xml:space="preserve">FRM-002: Hazard &amp; Risk Assessment Form</w:t>
      </w:r>
    </w:p>
    <w:p>
      <w:pPr>
        <w:pStyle w:val="ListParagraph"/>
        <w:numPr>
          <w:ilvl w:val="0"/>
          <w:numId w:val="1"/>
        </w:numPr>
        <w:spacing w:after="60" w:line="280"/>
      </w:pPr>
      <w:r>
        <w:rPr>
          <w:rFonts w:ascii="Calibri" w:cs="Calibri" w:eastAsia="Calibri" w:hAnsi="Calibri"/>
          <w:color w:val="333333"/>
          <w:sz w:val="21"/>
          <w:szCs w:val="21"/>
        </w:rPr>
        <w:t xml:space="preserve">FRM-006: Permit to Work Form</w:t>
      </w:r>
    </w:p>
    <w:p>
      <w:pPr>
        <w:pStyle w:val="ListParagraph"/>
        <w:numPr>
          <w:ilvl w:val="0"/>
          <w:numId w:val="1"/>
        </w:numPr>
        <w:spacing w:after="60" w:line="280"/>
      </w:pPr>
      <w:r>
        <w:rPr>
          <w:rFonts w:ascii="Calibri" w:cs="Calibri" w:eastAsia="Calibri" w:hAnsi="Calibri"/>
          <w:color w:val="333333"/>
          <w:sz w:val="21"/>
          <w:szCs w:val="21"/>
        </w:rPr>
        <w:t xml:space="preserve">REG-001: Risk Register</w:t>
      </w:r>
    </w:p>
    <w:p>
      <w:pPr>
        <w:pStyle w:val="ListParagraph"/>
        <w:numPr>
          <w:ilvl w:val="0"/>
          <w:numId w:val="1"/>
        </w:numPr>
        <w:spacing w:after="60" w:line="280"/>
      </w:pPr>
      <w:r>
        <w:rPr>
          <w:rFonts w:ascii="Calibri" w:cs="Calibri" w:eastAsia="Calibri" w:hAnsi="Calibri"/>
          <w:color w:val="333333"/>
          <w:sz w:val="21"/>
          <w:szCs w:val="21"/>
        </w:rPr>
        <w:t xml:space="preserve">PRO-005: HIRA Procedure</w:t>
      </w:r>
    </w:p>
    <w:p>
      <w:pPr>
        <w:pStyle w:val="ListParagraph"/>
        <w:numPr>
          <w:ilvl w:val="0"/>
          <w:numId w:val="1"/>
        </w:numPr>
        <w:spacing w:after="60" w:line="280"/>
      </w:pPr>
      <w:r>
        <w:rPr>
          <w:rFonts w:ascii="Calibri" w:cs="Calibri" w:eastAsia="Calibri" w:hAnsi="Calibri"/>
          <w:color w:val="333333"/>
          <w:sz w:val="21"/>
          <w:szCs w:val="21"/>
        </w:rPr>
        <w:t xml:space="preserve">Work at Height Regulations 2005</w:t>
      </w:r>
    </w:p>
    <w:p>
      <w:pPr>
        <w:pStyle w:val="ListParagraph"/>
        <w:numPr>
          <w:ilvl w:val="0"/>
          <w:numId w:val="1"/>
        </w:numPr>
        <w:spacing w:after="60" w:line="280"/>
      </w:pPr>
      <w:r>
        <w:rPr>
          <w:rFonts w:ascii="Calibri" w:cs="Calibri" w:eastAsia="Calibri" w:hAnsi="Calibri"/>
          <w:color w:val="333333"/>
          <w:sz w:val="21"/>
          <w:szCs w:val="21"/>
        </w:rPr>
        <w:t xml:space="preserve">LOLER 1998</w:t>
      </w:r>
    </w:p>
    <w:p>
      <w:pPr>
        <w:pStyle w:val="ListParagraph"/>
        <w:numPr>
          <w:ilvl w:val="0"/>
          <w:numId w:val="1"/>
        </w:numPr>
        <w:spacing w:after="60" w:line="280"/>
      </w:pPr>
      <w:r>
        <w:rPr>
          <w:rFonts w:ascii="Calibri" w:cs="Calibri" w:eastAsia="Calibri" w:hAnsi="Calibri"/>
          <w:color w:val="333333"/>
          <w:sz w:val="21"/>
          <w:szCs w:val="21"/>
        </w:rPr>
        <w:t xml:space="preserve">PUWER 1998</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SWP-001  |  v1.0  |  ISO 45001:2018 Clause 8.1.2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2026-02-16T15:30:17.539Z</dcterms:created>
  <dcterms:modified xsi:type="dcterms:W3CDTF">2026-02-16T15:30:17.540Z</dcterms:modified>
</cp:coreProperties>
</file>

<file path=docProps/custom.xml><?xml version="1.0" encoding="utf-8"?>
<Properties xmlns="http://schemas.openxmlformats.org/officeDocument/2006/custom-properties" xmlns:vt="http://schemas.openxmlformats.org/officeDocument/2006/docPropsVTypes"/>
</file>