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3A5C"/>
          <w:sz w:val="60"/>
          <w:szCs w:val="60"/>
        </w:rPr>
        <w:t xml:space="preserve">NEXARA</w:t>
      </w:r>
    </w:p>
    <w:p>
      <w:pPr>
        <w:spacing w:after="600"/>
        <w:jc w:val="center"/>
      </w:pPr>
      <w:r>
        <w:rPr>
          <w:rFonts w:ascii="Calibri" w:cs="Calibri" w:eastAsia="Calibri" w:hAnsi="Calibri"/>
          <w:color w:val="666666"/>
          <w:sz w:val="28"/>
          <w:szCs w:val="28"/>
        </w:rPr>
        <w:t xml:space="preserve">Integrated Management System</w:t>
      </w:r>
    </w:p>
    <w:p>
      <w:pPr>
        <w:pBdr>
          <w:bottom w:val="single" w:color="1B3A5C" w:sz="6"/>
        </w:pBdr>
        <w:spacing w:after="600"/>
      </w:pPr>
      <w:r>
        <w:rPr>
          <w:sz w:val="2"/>
          <w:szCs w:val="2"/>
        </w:rPr>
        <w:t xml:space="preserve"/>
      </w:r>
    </w:p>
    <w:p>
      <w:pPr>
        <w:spacing w:after="200"/>
        <w:jc w:val="center"/>
      </w:pPr>
      <w:r>
        <w:rPr>
          <w:rFonts w:ascii="Calibri" w:cs="Calibri" w:eastAsia="Calibri" w:hAnsi="Calibri"/>
          <w:b/>
          <w:bCs/>
          <w:color w:val="333333"/>
          <w:sz w:val="44"/>
          <w:szCs w:val="44"/>
        </w:rPr>
        <w:t xml:space="preserve">Safe Working Procedure — Confined Space Entry</w:t>
      </w:r>
    </w:p>
    <w:p>
      <w:pPr>
        <w:spacing w:after="800"/>
        <w:jc w:val="center"/>
      </w:pPr>
      <w:r>
        <w:rPr>
          <w:rFonts w:ascii="Calibri" w:cs="Calibri" w:eastAsia="Calibri" w:hAnsi="Calibri"/>
          <w:color w:val="666666"/>
          <w:sz w:val="24"/>
          <w:szCs w:val="24"/>
        </w:rPr>
        <w:t xml:space="preserve">ISO 45001:2018 Clause 8.1.2</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Document Number: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SWP-002</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Version: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1.0</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Date:</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[DD/MM/YYYY]</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Owner: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[H&amp;S Manager]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Approved By:</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[Operations Director]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Classification: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Confidential</w:t>
            </w:r>
          </w:p>
        </w:tc>
      </w:tr>
    </w:tbl>
    <w:p>
      <w:pPr>
        <w:spacing w:after="600"/>
      </w:pPr>
    </w:p>
    <w:p>
      <w:pPr>
        <w:spacing w:before="400" w:after="200"/>
      </w:pPr>
      <w:r>
        <w:rPr>
          <w:rFonts w:ascii="Calibri" w:cs="Calibri" w:eastAsia="Calibri" w:hAnsi="Calibri"/>
          <w:b/>
          <w:bCs/>
          <w:color w:val="1B3A5C"/>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Version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Author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Approved By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Initial Issue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[Author 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[Approver 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r>
        <w:br w:type="page"/>
      </w:r>
    </w:p>
    <w:p>
      <w:pPr>
        <w:pStyle w:val="Heading1"/>
        <w:pBdr>
          <w:bottom w:val="single" w:color="E8EFF7" w:sz="1"/>
        </w:pBdr>
        <w:spacing w:before="400" w:after="100"/>
      </w:pPr>
      <w:r>
        <w:rPr>
          <w:rFonts w:ascii="Calibri" w:cs="Calibri" w:eastAsia="Calibri" w:hAnsi="Calibri"/>
          <w:b/>
          <w:bCs/>
          <w:color w:val="1B3A5C"/>
          <w:sz w:val="28"/>
          <w:szCs w:val="28"/>
        </w:rPr>
        <w:t xml:space="preserve">1. Purpose</w:t>
      </w:r>
    </w:p>
    <w:p>
      <w:pPr>
        <w:spacing w:after="120" w:line="300"/>
      </w:pPr>
      <w:r>
        <w:rPr>
          <w:rFonts w:ascii="Calibri" w:cs="Calibri" w:eastAsia="Calibri" w:hAnsi="Calibri"/>
          <w:color w:val="333333"/>
          <w:sz w:val="21"/>
          <w:szCs w:val="21"/>
        </w:rPr>
        <w:t xml:space="preserve">To establish safe systems of work for entry into and work within confined spaces, ensuring compliance with the Confined Spaces Regulations 1997 and ISO 45001:2018.</w:t>
      </w:r>
    </w:p>
    <w:p>
      <w:pPr>
        <w:pStyle w:val="Heading1"/>
        <w:pBdr>
          <w:bottom w:val="single" w:color="E8EFF7" w:sz="1"/>
        </w:pBdr>
        <w:spacing w:before="400" w:after="100"/>
      </w:pPr>
      <w:r>
        <w:rPr>
          <w:rFonts w:ascii="Calibri" w:cs="Calibri" w:eastAsia="Calibri" w:hAnsi="Calibri"/>
          <w:b/>
          <w:bCs/>
          <w:color w:val="1B3A5C"/>
          <w:sz w:val="28"/>
          <w:szCs w:val="28"/>
        </w:rPr>
        <w:t xml:space="preserve">2. Scope</w:t>
      </w:r>
    </w:p>
    <w:p>
      <w:pPr>
        <w:spacing w:after="120" w:line="300"/>
      </w:pPr>
      <w:r>
        <w:rPr>
          <w:rFonts w:ascii="Calibri" w:cs="Calibri" w:eastAsia="Calibri" w:hAnsi="Calibri"/>
          <w:color w:val="333333"/>
          <w:sz w:val="21"/>
          <w:szCs w:val="21"/>
        </w:rPr>
        <w:t xml:space="preserve">Applies to all confined space entries including tanks, vessels, pits, silos, chambers, ducts, sewers, excavations deeper than 1.2m, and any enclosed or partially enclosed space with limited access/egress where a specified risk exists.</w:t>
      </w:r>
    </w:p>
    <w:p>
      <w:pPr>
        <w:pStyle w:val="Heading1"/>
        <w:pBdr>
          <w:bottom w:val="single" w:color="E8EFF7" w:sz="1"/>
        </w:pBdr>
        <w:spacing w:before="400" w:after="100"/>
      </w:pPr>
      <w:r>
        <w:rPr>
          <w:rFonts w:ascii="Calibri" w:cs="Calibri" w:eastAsia="Calibri" w:hAnsi="Calibri"/>
          <w:b/>
          <w:bCs/>
          <w:color w:val="1B3A5C"/>
          <w:sz w:val="28"/>
          <w:szCs w:val="28"/>
        </w:rPr>
        <w:t xml:space="preserve">3. Definitions</w:t>
      </w:r>
    </w:p>
    <w:p>
      <w:pPr>
        <w:pStyle w:val="ListParagraph"/>
        <w:numPr>
          <w:ilvl w:val="0"/>
          <w:numId w:val="1"/>
        </w:numPr>
        <w:spacing w:after="60" w:line="280"/>
      </w:pPr>
      <w:r>
        <w:rPr>
          <w:rFonts w:ascii="Calibri" w:cs="Calibri" w:eastAsia="Calibri" w:hAnsi="Calibri"/>
          <w:color w:val="333333"/>
          <w:sz w:val="21"/>
          <w:szCs w:val="21"/>
        </w:rPr>
        <w:t xml:space="preserve">Confined Space: Any place which is substantially enclosed and where a specified risk of serious injury exists from hazardous substances, lack of oxygen, engulfment, or entrapment</w:t>
      </w:r>
    </w:p>
    <w:p>
      <w:pPr>
        <w:pStyle w:val="ListParagraph"/>
        <w:numPr>
          <w:ilvl w:val="0"/>
          <w:numId w:val="1"/>
        </w:numPr>
        <w:spacing w:after="60" w:line="280"/>
      </w:pPr>
      <w:r>
        <w:rPr>
          <w:rFonts w:ascii="Calibri" w:cs="Calibri" w:eastAsia="Calibri" w:hAnsi="Calibri"/>
          <w:color w:val="333333"/>
          <w:sz w:val="21"/>
          <w:szCs w:val="21"/>
        </w:rPr>
        <w:t xml:space="preserve">Specified Risk: Risk of fire/explosion, loss of consciousness from gas/fumes/vapour, drowning, asphyxiation from free-flowing solid, entrapment preventing escape</w:t>
      </w:r>
    </w:p>
    <w:p>
      <w:pPr>
        <w:pStyle w:val="ListParagraph"/>
        <w:numPr>
          <w:ilvl w:val="0"/>
          <w:numId w:val="1"/>
        </w:numPr>
        <w:spacing w:after="60" w:line="280"/>
      </w:pPr>
      <w:r>
        <w:rPr>
          <w:rFonts w:ascii="Calibri" w:cs="Calibri" w:eastAsia="Calibri" w:hAnsi="Calibri"/>
          <w:color w:val="333333"/>
          <w:sz w:val="21"/>
          <w:szCs w:val="21"/>
        </w:rPr>
        <w:t xml:space="preserve">Entry Supervisor: Competent person responsible for authorising and managing the confined space entry</w:t>
      </w:r>
    </w:p>
    <w:p>
      <w:pPr>
        <w:pStyle w:val="ListParagraph"/>
        <w:numPr>
          <w:ilvl w:val="0"/>
          <w:numId w:val="1"/>
        </w:numPr>
        <w:spacing w:after="60" w:line="280"/>
      </w:pPr>
      <w:r>
        <w:rPr>
          <w:rFonts w:ascii="Calibri" w:cs="Calibri" w:eastAsia="Calibri" w:hAnsi="Calibri"/>
          <w:color w:val="333333"/>
          <w:sz w:val="21"/>
          <w:szCs w:val="21"/>
        </w:rPr>
        <w:t xml:space="preserve">Entrant: Person who physically enters the confined space</w:t>
      </w:r>
    </w:p>
    <w:p>
      <w:pPr>
        <w:pStyle w:val="ListParagraph"/>
        <w:numPr>
          <w:ilvl w:val="0"/>
          <w:numId w:val="1"/>
        </w:numPr>
        <w:spacing w:after="60" w:line="280"/>
      </w:pPr>
      <w:r>
        <w:rPr>
          <w:rFonts w:ascii="Calibri" w:cs="Calibri" w:eastAsia="Calibri" w:hAnsi="Calibri"/>
          <w:color w:val="333333"/>
          <w:sz w:val="21"/>
          <w:szCs w:val="21"/>
        </w:rPr>
        <w:t xml:space="preserve">Attendant (Top Person): Person stationed outside to maintain communication and initiate emergency response</w:t>
      </w:r>
    </w:p>
    <w:p>
      <w:pPr>
        <w:pStyle w:val="Heading1"/>
        <w:pBdr>
          <w:bottom w:val="single" w:color="E8EFF7" w:sz="1"/>
        </w:pBdr>
        <w:spacing w:before="400" w:after="100"/>
      </w:pPr>
      <w:r>
        <w:rPr>
          <w:rFonts w:ascii="Calibri" w:cs="Calibri" w:eastAsia="Calibri" w:hAnsi="Calibri"/>
          <w:b/>
          <w:bCs/>
          <w:color w:val="1B3A5C"/>
          <w:sz w:val="28"/>
          <w:szCs w:val="28"/>
        </w:rPr>
        <w:t xml:space="preserve">4. Hazards</w:t>
      </w:r>
    </w:p>
    <w:p>
      <w:pPr>
        <w:pStyle w:val="ListParagraph"/>
        <w:numPr>
          <w:ilvl w:val="0"/>
          <w:numId w:val="1"/>
        </w:numPr>
        <w:spacing w:after="60" w:line="280"/>
      </w:pPr>
      <w:r>
        <w:rPr>
          <w:rFonts w:ascii="Calibri" w:cs="Calibri" w:eastAsia="Calibri" w:hAnsi="Calibri"/>
          <w:color w:val="333333"/>
          <w:sz w:val="21"/>
          <w:szCs w:val="21"/>
        </w:rPr>
        <w:t xml:space="preserve">Toxic atmosphere (H₂S, CO, methane, solvent vapours)</w:t>
      </w:r>
    </w:p>
    <w:p>
      <w:pPr>
        <w:pStyle w:val="ListParagraph"/>
        <w:numPr>
          <w:ilvl w:val="0"/>
          <w:numId w:val="1"/>
        </w:numPr>
        <w:spacing w:after="60" w:line="280"/>
      </w:pPr>
      <w:r>
        <w:rPr>
          <w:rFonts w:ascii="Calibri" w:cs="Calibri" w:eastAsia="Calibri" w:hAnsi="Calibri"/>
          <w:color w:val="333333"/>
          <w:sz w:val="21"/>
          <w:szCs w:val="21"/>
        </w:rPr>
        <w:t xml:space="preserve">Oxygen deficiency (&lt;19.5%) or enrichment (&gt;23.5%)</w:t>
      </w:r>
    </w:p>
    <w:p>
      <w:pPr>
        <w:pStyle w:val="ListParagraph"/>
        <w:numPr>
          <w:ilvl w:val="0"/>
          <w:numId w:val="1"/>
        </w:numPr>
        <w:spacing w:after="60" w:line="280"/>
      </w:pPr>
      <w:r>
        <w:rPr>
          <w:rFonts w:ascii="Calibri" w:cs="Calibri" w:eastAsia="Calibri" w:hAnsi="Calibri"/>
          <w:color w:val="333333"/>
          <w:sz w:val="21"/>
          <w:szCs w:val="21"/>
        </w:rPr>
        <w:t xml:space="preserve">Flammable/explosive atmospheres</w:t>
      </w:r>
    </w:p>
    <w:p>
      <w:pPr>
        <w:pStyle w:val="ListParagraph"/>
        <w:numPr>
          <w:ilvl w:val="0"/>
          <w:numId w:val="1"/>
        </w:numPr>
        <w:spacing w:after="60" w:line="280"/>
      </w:pPr>
      <w:r>
        <w:rPr>
          <w:rFonts w:ascii="Calibri" w:cs="Calibri" w:eastAsia="Calibri" w:hAnsi="Calibri"/>
          <w:color w:val="333333"/>
          <w:sz w:val="21"/>
          <w:szCs w:val="21"/>
        </w:rPr>
        <w:t xml:space="preserve">Engulfment by liquids, slurry, or free-flowing solids</w:t>
      </w:r>
    </w:p>
    <w:p>
      <w:pPr>
        <w:pStyle w:val="ListParagraph"/>
        <w:numPr>
          <w:ilvl w:val="0"/>
          <w:numId w:val="1"/>
        </w:numPr>
        <w:spacing w:after="60" w:line="280"/>
      </w:pPr>
      <w:r>
        <w:rPr>
          <w:rFonts w:ascii="Calibri" w:cs="Calibri" w:eastAsia="Calibri" w:hAnsi="Calibri"/>
          <w:color w:val="333333"/>
          <w:sz w:val="21"/>
          <w:szCs w:val="21"/>
        </w:rPr>
        <w:t xml:space="preserve">Entrapment by converging walls or equipment</w:t>
      </w:r>
    </w:p>
    <w:p>
      <w:pPr>
        <w:pStyle w:val="ListParagraph"/>
        <w:numPr>
          <w:ilvl w:val="0"/>
          <w:numId w:val="1"/>
        </w:numPr>
        <w:spacing w:after="60" w:line="280"/>
      </w:pPr>
      <w:r>
        <w:rPr>
          <w:rFonts w:ascii="Calibri" w:cs="Calibri" w:eastAsia="Calibri" w:hAnsi="Calibri"/>
          <w:color w:val="333333"/>
          <w:sz w:val="21"/>
          <w:szCs w:val="21"/>
        </w:rPr>
        <w:t xml:space="preserve">Electrocution from equipment within the space</w:t>
      </w:r>
    </w:p>
    <w:p>
      <w:pPr>
        <w:pStyle w:val="ListParagraph"/>
        <w:numPr>
          <w:ilvl w:val="0"/>
          <w:numId w:val="1"/>
        </w:numPr>
        <w:spacing w:after="60" w:line="280"/>
      </w:pPr>
      <w:r>
        <w:rPr>
          <w:rFonts w:ascii="Calibri" w:cs="Calibri" w:eastAsia="Calibri" w:hAnsi="Calibri"/>
          <w:color w:val="333333"/>
          <w:sz w:val="21"/>
          <w:szCs w:val="21"/>
        </w:rPr>
        <w:t xml:space="preserve">Thermal hazards — extreme heat or cold</w:t>
      </w:r>
    </w:p>
    <w:p>
      <w:pPr>
        <w:pStyle w:val="Heading1"/>
        <w:pBdr>
          <w:bottom w:val="single" w:color="E8EFF7" w:sz="1"/>
        </w:pBdr>
        <w:spacing w:before="400" w:after="100"/>
      </w:pPr>
      <w:r>
        <w:rPr>
          <w:rFonts w:ascii="Calibri" w:cs="Calibri" w:eastAsia="Calibri" w:hAnsi="Calibri"/>
          <w:b/>
          <w:bCs/>
          <w:color w:val="1B3A5C"/>
          <w:sz w:val="28"/>
          <w:szCs w:val="28"/>
        </w:rPr>
        <w:t xml:space="preserve">5. Procedure</w:t>
      </w:r>
    </w:p>
    <w:p>
      <w:pPr>
        <w:pStyle w:val="Heading2"/>
        <w:spacing w:before="200" w:after="100"/>
      </w:pPr>
      <w:r>
        <w:rPr>
          <w:rFonts w:ascii="Calibri" w:cs="Calibri" w:eastAsia="Calibri" w:hAnsi="Calibri"/>
          <w:b/>
          <w:bCs/>
          <w:color w:val="1B3A5C"/>
          <w:sz w:val="24"/>
          <w:szCs w:val="24"/>
        </w:rPr>
        <w:t xml:space="preserve">5.1 Avoidance</w:t>
      </w:r>
    </w:p>
    <w:p>
      <w:pPr>
        <w:spacing w:after="120" w:line="300"/>
      </w:pPr>
      <w:r>
        <w:rPr>
          <w:rFonts w:ascii="Calibri" w:cs="Calibri" w:eastAsia="Calibri" w:hAnsi="Calibri"/>
          <w:color w:val="333333"/>
          <w:sz w:val="21"/>
          <w:szCs w:val="21"/>
        </w:rPr>
        <w:t xml:space="preserve">Before any confined space entry, assess whether the work can be completed without entry (e.g., remote inspection cameras, long-handled tools, external cleaning methods). Entry is only permitted when no reasonably practicable alternative exists.</w:t>
      </w:r>
    </w:p>
    <w:p>
      <w:pPr>
        <w:pStyle w:val="Heading2"/>
        <w:spacing w:before="200" w:after="100"/>
      </w:pPr>
      <w:r>
        <w:rPr>
          <w:rFonts w:ascii="Calibri" w:cs="Calibri" w:eastAsia="Calibri" w:hAnsi="Calibri"/>
          <w:b/>
          <w:bCs/>
          <w:color w:val="1B3A5C"/>
          <w:sz w:val="24"/>
          <w:szCs w:val="24"/>
        </w:rPr>
        <w:t xml:space="preserve">5.2 Pre-Entry Requirements</w:t>
      </w:r>
    </w:p>
    <w:p>
      <w:pPr>
        <w:pStyle w:val="ListParagraph"/>
        <w:numPr>
          <w:ilvl w:val="0"/>
          <w:numId w:val="1"/>
        </w:numPr>
        <w:spacing w:after="60" w:line="280"/>
      </w:pPr>
      <w:r>
        <w:rPr>
          <w:rFonts w:ascii="Calibri" w:cs="Calibri" w:eastAsia="Calibri" w:hAnsi="Calibri"/>
          <w:color w:val="333333"/>
          <w:sz w:val="21"/>
          <w:szCs w:val="21"/>
        </w:rPr>
        <w:t xml:space="preserve">Obtain a Confined Space Entry Permit (FRM-006 with confined space addendum)</w:t>
      </w:r>
    </w:p>
    <w:p>
      <w:pPr>
        <w:pStyle w:val="ListParagraph"/>
        <w:numPr>
          <w:ilvl w:val="0"/>
          <w:numId w:val="1"/>
        </w:numPr>
        <w:spacing w:after="60" w:line="280"/>
      </w:pPr>
      <w:r>
        <w:rPr>
          <w:rFonts w:ascii="Calibri" w:cs="Calibri" w:eastAsia="Calibri" w:hAnsi="Calibri"/>
          <w:color w:val="333333"/>
          <w:sz w:val="21"/>
          <w:szCs w:val="21"/>
        </w:rPr>
        <w:t xml:space="preserve">Conduct atmospheric testing: O₂ (19.5-23.5%), LEL (&lt;10%), H₂S (&lt;10ppm), CO (&lt;25ppm)</w:t>
      </w:r>
    </w:p>
    <w:p>
      <w:pPr>
        <w:pStyle w:val="ListParagraph"/>
        <w:numPr>
          <w:ilvl w:val="0"/>
          <w:numId w:val="1"/>
        </w:numPr>
        <w:spacing w:after="60" w:line="280"/>
      </w:pPr>
      <w:r>
        <w:rPr>
          <w:rFonts w:ascii="Calibri" w:cs="Calibri" w:eastAsia="Calibri" w:hAnsi="Calibri"/>
          <w:color w:val="333333"/>
          <w:sz w:val="21"/>
          <w:szCs w:val="21"/>
        </w:rPr>
        <w:t xml:space="preserve">Isolate all energy sources — lock out/tag out (LOTO) all mechanical, electrical, pneumatic, hydraulic</w:t>
      </w:r>
    </w:p>
    <w:p>
      <w:pPr>
        <w:pStyle w:val="ListParagraph"/>
        <w:numPr>
          <w:ilvl w:val="0"/>
          <w:numId w:val="1"/>
        </w:numPr>
        <w:spacing w:after="60" w:line="280"/>
      </w:pPr>
      <w:r>
        <w:rPr>
          <w:rFonts w:ascii="Calibri" w:cs="Calibri" w:eastAsia="Calibri" w:hAnsi="Calibri"/>
          <w:color w:val="333333"/>
          <w:sz w:val="21"/>
          <w:szCs w:val="21"/>
        </w:rPr>
        <w:t xml:space="preserve">Isolate all pipework — blank/disconnect or double-block-and-bleed</w:t>
      </w:r>
    </w:p>
    <w:p>
      <w:pPr>
        <w:pStyle w:val="ListParagraph"/>
        <w:numPr>
          <w:ilvl w:val="0"/>
          <w:numId w:val="1"/>
        </w:numPr>
        <w:spacing w:after="60" w:line="280"/>
      </w:pPr>
      <w:r>
        <w:rPr>
          <w:rFonts w:ascii="Calibri" w:cs="Calibri" w:eastAsia="Calibri" w:hAnsi="Calibri"/>
          <w:color w:val="333333"/>
          <w:sz w:val="21"/>
          <w:szCs w:val="21"/>
        </w:rPr>
        <w:t xml:space="preserve">Purge/ventilate the space — continuous forced ventilation during entry</w:t>
      </w:r>
    </w:p>
    <w:p>
      <w:pPr>
        <w:pStyle w:val="ListParagraph"/>
        <w:numPr>
          <w:ilvl w:val="0"/>
          <w:numId w:val="1"/>
        </w:numPr>
        <w:spacing w:after="60" w:line="280"/>
      </w:pPr>
      <w:r>
        <w:rPr>
          <w:rFonts w:ascii="Calibri" w:cs="Calibri" w:eastAsia="Calibri" w:hAnsi="Calibri"/>
          <w:color w:val="333333"/>
          <w:sz w:val="21"/>
          <w:szCs w:val="21"/>
        </w:rPr>
        <w:t xml:space="preserve">Confirm rescue plan and equipment are in place before any entry</w:t>
      </w:r>
    </w:p>
    <w:p>
      <w:pPr>
        <w:pStyle w:val="ListParagraph"/>
        <w:numPr>
          <w:ilvl w:val="0"/>
          <w:numId w:val="1"/>
        </w:numPr>
        <w:spacing w:after="60" w:line="280"/>
      </w:pPr>
      <w:r>
        <w:rPr>
          <w:rFonts w:ascii="Calibri" w:cs="Calibri" w:eastAsia="Calibri" w:hAnsi="Calibri"/>
          <w:color w:val="333333"/>
          <w:sz w:val="21"/>
          <w:szCs w:val="21"/>
        </w:rPr>
        <w:t xml:space="preserve">Assign Entry Supervisor, Entrant(s), and Attendant — minimum 3 persons</w:t>
      </w:r>
    </w:p>
    <w:p>
      <w:pPr>
        <w:pStyle w:val="Heading2"/>
        <w:spacing w:before="200" w:after="100"/>
      </w:pPr>
      <w:r>
        <w:rPr>
          <w:rFonts w:ascii="Calibri" w:cs="Calibri" w:eastAsia="Calibri" w:hAnsi="Calibri"/>
          <w:b/>
          <w:bCs/>
          <w:color w:val="1B3A5C"/>
          <w:sz w:val="24"/>
          <w:szCs w:val="24"/>
        </w:rPr>
        <w:t xml:space="preserve">5.3 During Entry</w:t>
      </w:r>
    </w:p>
    <w:p>
      <w:pPr>
        <w:pStyle w:val="ListParagraph"/>
        <w:numPr>
          <w:ilvl w:val="0"/>
          <w:numId w:val="1"/>
        </w:numPr>
        <w:spacing w:after="60" w:line="280"/>
      </w:pPr>
      <w:r>
        <w:rPr>
          <w:rFonts w:ascii="Calibri" w:cs="Calibri" w:eastAsia="Calibri" w:hAnsi="Calibri"/>
          <w:color w:val="333333"/>
          <w:sz w:val="21"/>
          <w:szCs w:val="21"/>
        </w:rPr>
        <w:t xml:space="preserve">Continuous atmospheric monitoring throughout the entry</w:t>
      </w:r>
    </w:p>
    <w:p>
      <w:pPr>
        <w:pStyle w:val="ListParagraph"/>
        <w:numPr>
          <w:ilvl w:val="0"/>
          <w:numId w:val="1"/>
        </w:numPr>
        <w:spacing w:after="60" w:line="280"/>
      </w:pPr>
      <w:r>
        <w:rPr>
          <w:rFonts w:ascii="Calibri" w:cs="Calibri" w:eastAsia="Calibri" w:hAnsi="Calibri"/>
          <w:color w:val="333333"/>
          <w:sz w:val="21"/>
          <w:szCs w:val="21"/>
        </w:rPr>
        <w:t xml:space="preserve">Attendant maintains constant visual/verbal contact — never leaves the entry point</w:t>
      </w:r>
    </w:p>
    <w:p>
      <w:pPr>
        <w:pStyle w:val="ListParagraph"/>
        <w:numPr>
          <w:ilvl w:val="0"/>
          <w:numId w:val="1"/>
        </w:numPr>
        <w:spacing w:after="60" w:line="280"/>
      </w:pPr>
      <w:r>
        <w:rPr>
          <w:rFonts w:ascii="Calibri" w:cs="Calibri" w:eastAsia="Calibri" w:hAnsi="Calibri"/>
          <w:color w:val="333333"/>
          <w:sz w:val="21"/>
          <w:szCs w:val="21"/>
        </w:rPr>
        <w:t xml:space="preserve">Entrant wears full-body harness with retrieval line (where practicable)</w:t>
      </w:r>
    </w:p>
    <w:p>
      <w:pPr>
        <w:pStyle w:val="ListParagraph"/>
        <w:numPr>
          <w:ilvl w:val="0"/>
          <w:numId w:val="1"/>
        </w:numPr>
        <w:spacing w:after="60" w:line="280"/>
      </w:pPr>
      <w:r>
        <w:rPr>
          <w:rFonts w:ascii="Calibri" w:cs="Calibri" w:eastAsia="Calibri" w:hAnsi="Calibri"/>
          <w:color w:val="333333"/>
          <w:sz w:val="21"/>
          <w:szCs w:val="21"/>
        </w:rPr>
        <w:t xml:space="preserve">Communication check every 5 minutes minimum</w:t>
      </w:r>
    </w:p>
    <w:p>
      <w:pPr>
        <w:pStyle w:val="ListParagraph"/>
        <w:numPr>
          <w:ilvl w:val="0"/>
          <w:numId w:val="1"/>
        </w:numPr>
        <w:spacing w:after="60" w:line="280"/>
      </w:pPr>
      <w:r>
        <w:rPr>
          <w:rFonts w:ascii="Calibri" w:cs="Calibri" w:eastAsia="Calibri" w:hAnsi="Calibri"/>
          <w:color w:val="333333"/>
          <w:sz w:val="21"/>
          <w:szCs w:val="21"/>
        </w:rPr>
        <w:t xml:space="preserve">EVACUATE IMMEDIATELY if: atmosphere alarm sounds, ventilation fails, entrant feels unwell, any emergency</w:t>
      </w:r>
    </w:p>
    <w:p>
      <w:pPr>
        <w:pStyle w:val="Heading2"/>
        <w:spacing w:before="200" w:after="100"/>
      </w:pPr>
      <w:r>
        <w:rPr>
          <w:rFonts w:ascii="Calibri" w:cs="Calibri" w:eastAsia="Calibri" w:hAnsi="Calibri"/>
          <w:b/>
          <w:bCs/>
          <w:color w:val="1B3A5C"/>
          <w:sz w:val="24"/>
          <w:szCs w:val="24"/>
        </w:rPr>
        <w:t xml:space="preserve">5.4 Emergency Rescue</w:t>
      </w:r>
    </w:p>
    <w:p>
      <w:pPr>
        <w:spacing w:after="120" w:line="300"/>
      </w:pPr>
      <w:r>
        <w:rPr>
          <w:rFonts w:ascii="Calibri" w:cs="Calibri" w:eastAsia="Calibri" w:hAnsi="Calibri"/>
          <w:color w:val="333333"/>
          <w:sz w:val="21"/>
          <w:szCs w:val="21"/>
        </w:rPr>
        <w:t xml:space="preserve">NEVER enter a confined space to rescue a casualty without breathing apparatus and a trained rescue team.</w:t>
      </w:r>
    </w:p>
    <w:p>
      <w:pPr>
        <w:spacing w:after="120" w:line="300"/>
      </w:pPr>
      <w:r>
        <w:rPr>
          <w:rFonts w:ascii="Calibri" w:cs="Calibri" w:eastAsia="Calibri" w:hAnsi="Calibri"/>
          <w:color w:val="333333"/>
          <w:sz w:val="21"/>
          <w:szCs w:val="21"/>
        </w:rPr>
        <w:t xml:space="preserve">a) Attendant raises alarm immediately — calls emergency services (999)
b) Attempt non-entry rescue first (retrieval line/winch)
c) Entry rescue only by trained rescue team wearing SCBA
d) Administer first aid once the casualty is removed to fresh air
e) All casualties to be assessed at hospital even if apparently uninjured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Equipment</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Purpose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Check</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4-gas monitor</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Continuous atmospheric monitoring</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Calibrated within 6 months, bump tested</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Forced ventilation fan</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Maintain breathable atmosphere</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Operational check, correct ducting</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Full-body harness + tripod/winch</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Fall prevention + rescue retrieval</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Inspected, rated for entrant weight</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SCBA sets (x2 minimum)</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Emergency rescue entry</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Full cylinders, face-fit tested</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Communication equipment</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Entrant-attendant contact</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Tested before entry</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Intrinsically safe lighting</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Illumination in space</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IS rated, battery charged</w:t>
            </w:r>
          </w:p>
        </w:tc>
      </w:tr>
    </w:tbl>
    <w:p>
      <w:pPr>
        <w:spacing w:after="200"/>
      </w:pPr>
    </w:p>
    <w:p>
      <w:pPr>
        <w:pStyle w:val="Heading1"/>
        <w:pBdr>
          <w:bottom w:val="single" w:color="E8EFF7" w:sz="1"/>
        </w:pBdr>
        <w:spacing w:before="400" w:after="100"/>
      </w:pPr>
      <w:r>
        <w:rPr>
          <w:rFonts w:ascii="Calibri" w:cs="Calibri" w:eastAsia="Calibri" w:hAnsi="Calibri"/>
          <w:b/>
          <w:bCs/>
          <w:color w:val="1B3A5C"/>
          <w:sz w:val="28"/>
          <w:szCs w:val="28"/>
        </w:rPr>
        <w:t xml:space="preserve">7. Training</w:t>
      </w:r>
    </w:p>
    <w:p>
      <w:pPr>
        <w:pStyle w:val="ListParagraph"/>
        <w:numPr>
          <w:ilvl w:val="0"/>
          <w:numId w:val="1"/>
        </w:numPr>
        <w:spacing w:after="60" w:line="280"/>
      </w:pPr>
      <w:r>
        <w:rPr>
          <w:rFonts w:ascii="Calibri" w:cs="Calibri" w:eastAsia="Calibri" w:hAnsi="Calibri"/>
          <w:color w:val="333333"/>
          <w:sz w:val="21"/>
          <w:szCs w:val="21"/>
        </w:rPr>
        <w:t xml:space="preserve">Confined Space Awareness — all relevant employees</w:t>
      </w:r>
    </w:p>
    <w:p>
      <w:pPr>
        <w:pStyle w:val="ListParagraph"/>
        <w:numPr>
          <w:ilvl w:val="0"/>
          <w:numId w:val="1"/>
        </w:numPr>
        <w:spacing w:after="60" w:line="280"/>
      </w:pPr>
      <w:r>
        <w:rPr>
          <w:rFonts w:ascii="Calibri" w:cs="Calibri" w:eastAsia="Calibri" w:hAnsi="Calibri"/>
          <w:color w:val="333333"/>
          <w:sz w:val="21"/>
          <w:szCs w:val="21"/>
        </w:rPr>
        <w:t xml:space="preserve">Confined Space Entrant — practical entry procedures</w:t>
      </w:r>
    </w:p>
    <w:p>
      <w:pPr>
        <w:pStyle w:val="ListParagraph"/>
        <w:numPr>
          <w:ilvl w:val="0"/>
          <w:numId w:val="1"/>
        </w:numPr>
        <w:spacing w:after="60" w:line="280"/>
      </w:pPr>
      <w:r>
        <w:rPr>
          <w:rFonts w:ascii="Calibri" w:cs="Calibri" w:eastAsia="Calibri" w:hAnsi="Calibri"/>
          <w:color w:val="333333"/>
          <w:sz w:val="21"/>
          <w:szCs w:val="21"/>
        </w:rPr>
        <w:t xml:space="preserve">Entry Supervisor — permit management, atmospheric monitoring</w:t>
      </w:r>
    </w:p>
    <w:p>
      <w:pPr>
        <w:pStyle w:val="ListParagraph"/>
        <w:numPr>
          <w:ilvl w:val="0"/>
          <w:numId w:val="1"/>
        </w:numPr>
        <w:spacing w:after="60" w:line="280"/>
      </w:pPr>
      <w:r>
        <w:rPr>
          <w:rFonts w:ascii="Calibri" w:cs="Calibri" w:eastAsia="Calibri" w:hAnsi="Calibri"/>
          <w:color w:val="333333"/>
          <w:sz w:val="21"/>
          <w:szCs w:val="21"/>
        </w:rPr>
        <w:t xml:space="preserve">Confined Space Rescue — rescue team (annual refresher)</w:t>
      </w:r>
    </w:p>
    <w:p>
      <w:pPr>
        <w:pStyle w:val="ListParagraph"/>
        <w:numPr>
          <w:ilvl w:val="0"/>
          <w:numId w:val="1"/>
        </w:numPr>
        <w:spacing w:after="60" w:line="280"/>
      </w:pPr>
      <w:r>
        <w:rPr>
          <w:rFonts w:ascii="Calibri" w:cs="Calibri" w:eastAsia="Calibri" w:hAnsi="Calibri"/>
          <w:color w:val="333333"/>
          <w:sz w:val="21"/>
          <w:szCs w:val="21"/>
        </w:rPr>
        <w:t xml:space="preserve">Gas Monitor Use — all entrants and attendants</w:t>
      </w:r>
    </w:p>
    <w:p>
      <w:pPr>
        <w:pStyle w:val="Heading1"/>
        <w:pBdr>
          <w:bottom w:val="single" w:color="E8EFF7" w:sz="1"/>
        </w:pBdr>
        <w:spacing w:before="400" w:after="100"/>
      </w:pPr>
      <w:r>
        <w:rPr>
          <w:rFonts w:ascii="Calibri" w:cs="Calibri" w:eastAsia="Calibri" w:hAnsi="Calibri"/>
          <w:b/>
          <w:bCs/>
          <w:color w:val="1B3A5C"/>
          <w:sz w:val="28"/>
          <w:szCs w:val="28"/>
        </w:rPr>
        <w:t xml:space="preserve">8. Related Documents</w:t>
      </w:r>
    </w:p>
    <w:p>
      <w:pPr>
        <w:pStyle w:val="ListParagraph"/>
        <w:numPr>
          <w:ilvl w:val="0"/>
          <w:numId w:val="1"/>
        </w:numPr>
        <w:spacing w:after="60" w:line="280"/>
      </w:pPr>
      <w:r>
        <w:rPr>
          <w:rFonts w:ascii="Calibri" w:cs="Calibri" w:eastAsia="Calibri" w:hAnsi="Calibri"/>
          <w:color w:val="333333"/>
          <w:sz w:val="21"/>
          <w:szCs w:val="21"/>
        </w:rPr>
        <w:t xml:space="preserve">FRM-006: Permit to Work Form</w:t>
      </w:r>
    </w:p>
    <w:p>
      <w:pPr>
        <w:pStyle w:val="ListParagraph"/>
        <w:numPr>
          <w:ilvl w:val="0"/>
          <w:numId w:val="1"/>
        </w:numPr>
        <w:spacing w:after="60" w:line="280"/>
      </w:pPr>
      <w:r>
        <w:rPr>
          <w:rFonts w:ascii="Calibri" w:cs="Calibri" w:eastAsia="Calibri" w:hAnsi="Calibri"/>
          <w:color w:val="333333"/>
          <w:sz w:val="21"/>
          <w:szCs w:val="21"/>
        </w:rPr>
        <w:t xml:space="preserve">PRO-005: HIRA Procedure</w:t>
      </w:r>
    </w:p>
    <w:p>
      <w:pPr>
        <w:pStyle w:val="ListParagraph"/>
        <w:numPr>
          <w:ilvl w:val="0"/>
          <w:numId w:val="1"/>
        </w:numPr>
        <w:spacing w:after="60" w:line="280"/>
      </w:pPr>
      <w:r>
        <w:rPr>
          <w:rFonts w:ascii="Calibri" w:cs="Calibri" w:eastAsia="Calibri" w:hAnsi="Calibri"/>
          <w:color w:val="333333"/>
          <w:sz w:val="21"/>
          <w:szCs w:val="21"/>
        </w:rPr>
        <w:t xml:space="preserve">Confined Spaces Regulations 1997</w:t>
      </w:r>
    </w:p>
    <w:p>
      <w:pPr>
        <w:pStyle w:val="ListParagraph"/>
        <w:numPr>
          <w:ilvl w:val="0"/>
          <w:numId w:val="1"/>
        </w:numPr>
        <w:spacing w:after="60" w:line="280"/>
      </w:pPr>
      <w:r>
        <w:rPr>
          <w:rFonts w:ascii="Calibri" w:cs="Calibri" w:eastAsia="Calibri" w:hAnsi="Calibri"/>
          <w:color w:val="333333"/>
          <w:sz w:val="21"/>
          <w:szCs w:val="21"/>
        </w:rPr>
        <w:t xml:space="preserve">Approved Code of Practice L101</w:t>
      </w: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pBdr>
      <w:spacing w:before="100"/>
      <w:jc w:val="center"/>
    </w:pPr>
    <w:r>
      <w:rPr>
        <w:rFonts w:ascii="Calibri" w:cs="Calibri" w:eastAsia="Calibri" w:hAnsi="Calibri"/>
        <w:color w:val="666666"/>
        <w:sz w:val="14"/>
        <w:szCs w:val="14"/>
      </w:rPr>
      <w:t xml:space="preserve">Confidential — [Company Name]</w:t>
    </w:r>
    <w:r>
      <w:rPr>
        <w:sz w:val="14"/>
        <w:szCs w:val="14"/>
      </w:rPr>
      <w:t xml:space="preserve">    </w:t>
    </w:r>
    <w:r>
      <w:rPr>
        <w:rFonts w:ascii="Calibri" w:cs="Calibri" w:eastAsia="Calibri" w:hAnsi="Calibri"/>
        <w:color w:val="666666"/>
        <w:sz w:val="14"/>
        <w:szCs w:val="14"/>
      </w:rPr>
      <w:t xml:space="preserve">© 2026 [Company Name] — Nexara IMS</w:t>
    </w:r>
    <w:r>
      <w:rPr>
        <w:rFonts w:ascii="Calibri" w:cs="Calibri" w:eastAsia="Calibri" w:hAnsi="Calibri"/>
        <w:color w:val="666666"/>
        <w:sz w:val="14"/>
        <w:szCs w:val="14"/>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1"/>
      </w:pBdr>
      <w:spacing w:after="100"/>
    </w:pPr>
    <w:r>
      <w:rPr>
        <w:rFonts w:ascii="Calibri" w:cs="Calibri" w:eastAsia="Calibri" w:hAnsi="Calibri"/>
        <w:b/>
        <w:bCs/>
        <w:color w:val="1B3A5C"/>
        <w:sz w:val="16"/>
        <w:szCs w:val="16"/>
      </w:rPr>
      <w:t xml:space="preserve">NEXARA IMS</w:t>
    </w:r>
    <w:r>
      <w:rPr>
        <w:rFonts w:ascii="Calibri" w:cs="Calibri" w:eastAsia="Calibri" w:hAnsi="Calibri"/>
        <w:color w:val="666666"/>
        <w:sz w:val="14"/>
        <w:szCs w:val="14"/>
      </w:rPr>
      <w:t xml:space="preserve">    SWP-002  |  v1.0  |  ISO 45001:2018 Clause 8.1.2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2026-02-16T15:30:17.665Z</dcterms:created>
  <dcterms:modified xsi:type="dcterms:W3CDTF">2026-02-16T15:30:17.666Z</dcterms:modified>
</cp:coreProperties>
</file>

<file path=docProps/custom.xml><?xml version="1.0" encoding="utf-8"?>
<Properties xmlns="http://schemas.openxmlformats.org/officeDocument/2006/custom-properties" xmlns:vt="http://schemas.openxmlformats.org/officeDocument/2006/docPropsVTypes"/>
</file>