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Safe Working Procedure — Electrical Safety</w:t>
      </w:r>
    </w:p>
    <w:p>
      <w:pPr>
        <w:spacing w:after="800"/>
        <w:jc w:val="center"/>
      </w:pPr>
      <w:r>
        <w:rPr>
          <w:rFonts w:ascii="Calibri" w:cs="Calibri" w:eastAsia="Calibri" w:hAnsi="Calibri"/>
          <w:color w:val="666666"/>
          <w:sz w:val="24"/>
          <w:szCs w:val="24"/>
        </w:rPr>
        <w:t xml:space="preserve">ISO 45001:2018 Clause 8.1.2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SWP-004</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[H&amp;S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prevent electrical injuries (shock, burns, arc flash) and ensure safe isolation of electrical systems during maintenance and repair work, in compliance with the Electricity at Work Regulations 1989.</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Applies to all work on or near electrical systems including low voltage (LV up to 1000V AC), high voltage (HV above 1000V AC), portable appliances, fixed installations, and temporary electrical supplies.</w:t>
      </w:r>
    </w:p>
    <w:p>
      <w:pPr>
        <w:pStyle w:val="Heading1"/>
        <w:pBdr>
          <w:bottom w:val="single" w:color="E8EFF7" w:sz="1"/>
        </w:pBdr>
        <w:spacing w:before="400" w:after="100"/>
      </w:pPr>
      <w:r>
        <w:rPr>
          <w:rFonts w:ascii="Calibri" w:cs="Calibri" w:eastAsia="Calibri" w:hAnsi="Calibri"/>
          <w:b/>
          <w:bCs/>
          <w:color w:val="1B3A5C"/>
          <w:sz w:val="28"/>
          <w:szCs w:val="28"/>
        </w:rPr>
        <w:t xml:space="preserve">3. Hazards</w:t>
      </w:r>
    </w:p>
    <w:p>
      <w:pPr>
        <w:pStyle w:val="ListParagraph"/>
        <w:numPr>
          <w:ilvl w:val="0"/>
          <w:numId w:val="1"/>
        </w:numPr>
        <w:spacing w:after="60" w:line="280"/>
      </w:pPr>
      <w:r>
        <w:rPr>
          <w:rFonts w:ascii="Calibri" w:cs="Calibri" w:eastAsia="Calibri" w:hAnsi="Calibri"/>
          <w:color w:val="333333"/>
          <w:sz w:val="21"/>
          <w:szCs w:val="21"/>
        </w:rPr>
        <w:t xml:space="preserve">Electric shock — ventricular fibrillation, cardiac arrest at currents as low as 30mA</w:t>
      </w:r>
    </w:p>
    <w:p>
      <w:pPr>
        <w:pStyle w:val="ListParagraph"/>
        <w:numPr>
          <w:ilvl w:val="0"/>
          <w:numId w:val="1"/>
        </w:numPr>
        <w:spacing w:after="60" w:line="280"/>
      </w:pPr>
      <w:r>
        <w:rPr>
          <w:rFonts w:ascii="Calibri" w:cs="Calibri" w:eastAsia="Calibri" w:hAnsi="Calibri"/>
          <w:color w:val="333333"/>
          <w:sz w:val="21"/>
          <w:szCs w:val="21"/>
        </w:rPr>
        <w:t xml:space="preserve">Arc flash — temperatures up to 35,000°F, blast pressure wave, molten metal</w:t>
      </w:r>
    </w:p>
    <w:p>
      <w:pPr>
        <w:pStyle w:val="ListParagraph"/>
        <w:numPr>
          <w:ilvl w:val="0"/>
          <w:numId w:val="1"/>
        </w:numPr>
        <w:spacing w:after="60" w:line="280"/>
      </w:pPr>
      <w:r>
        <w:rPr>
          <w:rFonts w:ascii="Calibri" w:cs="Calibri" w:eastAsia="Calibri" w:hAnsi="Calibri"/>
          <w:color w:val="333333"/>
          <w:sz w:val="21"/>
          <w:szCs w:val="21"/>
        </w:rPr>
        <w:t xml:space="preserve">Burns — contact burns, arc burns, flash burns</w:t>
      </w:r>
    </w:p>
    <w:p>
      <w:pPr>
        <w:pStyle w:val="ListParagraph"/>
        <w:numPr>
          <w:ilvl w:val="0"/>
          <w:numId w:val="1"/>
        </w:numPr>
        <w:spacing w:after="60" w:line="280"/>
      </w:pPr>
      <w:r>
        <w:rPr>
          <w:rFonts w:ascii="Calibri" w:cs="Calibri" w:eastAsia="Calibri" w:hAnsi="Calibri"/>
          <w:color w:val="333333"/>
          <w:sz w:val="21"/>
          <w:szCs w:val="21"/>
        </w:rPr>
        <w:t xml:space="preserve">Fire — from overloaded circuits, short circuits, poor connections</w:t>
      </w:r>
    </w:p>
    <w:p>
      <w:pPr>
        <w:pStyle w:val="ListParagraph"/>
        <w:numPr>
          <w:ilvl w:val="0"/>
          <w:numId w:val="1"/>
        </w:numPr>
        <w:spacing w:after="60" w:line="280"/>
      </w:pPr>
      <w:r>
        <w:rPr>
          <w:rFonts w:ascii="Calibri" w:cs="Calibri" w:eastAsia="Calibri" w:hAnsi="Calibri"/>
          <w:color w:val="333333"/>
          <w:sz w:val="21"/>
          <w:szCs w:val="21"/>
        </w:rPr>
        <w:t xml:space="preserve">Secondary injuries — falls from height following electric shock</w:t>
      </w:r>
    </w:p>
    <w:p>
      <w:pPr>
        <w:pStyle w:val="Heading1"/>
        <w:pBdr>
          <w:bottom w:val="single" w:color="E8EFF7" w:sz="1"/>
        </w:pBdr>
        <w:spacing w:before="400" w:after="100"/>
      </w:pPr>
      <w:r>
        <w:rPr>
          <w:rFonts w:ascii="Calibri" w:cs="Calibri" w:eastAsia="Calibri" w:hAnsi="Calibri"/>
          <w:b/>
          <w:bCs/>
          <w:color w:val="1B3A5C"/>
          <w:sz w:val="28"/>
          <w:szCs w:val="28"/>
        </w:rPr>
        <w:t xml:space="preserve">4. Safe Isolation Procedure</w:t>
      </w:r>
    </w:p>
    <w:p>
      <w:pPr>
        <w:spacing w:after="120" w:line="300"/>
      </w:pPr>
      <w:r>
        <w:rPr>
          <w:rFonts w:ascii="Calibri" w:cs="Calibri" w:eastAsia="Calibri" w:hAnsi="Calibri"/>
          <w:color w:val="333333"/>
          <w:sz w:val="21"/>
          <w:szCs w:val="21"/>
        </w:rPr>
        <w:t xml:space="preserve">All electrical work requires safe isolation (dead working) unless live working is specifically authorised by the Authorised Person.</w:t>
      </w:r>
    </w:p>
    <w:p>
      <w:pPr>
        <w:spacing w:after="120" w:line="300"/>
      </w:pPr>
      <w:r>
        <w:rPr>
          <w:rFonts w:ascii="Calibri" w:cs="Calibri" w:eastAsia="Calibri" w:hAnsi="Calibri"/>
          <w:color w:val="333333"/>
          <w:sz w:val="21"/>
          <w:szCs w:val="21"/>
        </w:rPr>
        <w:t xml:space="preserve">1. Identify the circuit/equipment to be isolated
2. Notify all affected persons
3. Switch off at the nearest point of isolation
4. Isolate at the main isolation point (circuit breaker/isolator)
5. Lock off with personal safety lock — each person applies their own lock
6. Attach danger tags with name, date, and purpose
7. PROVE DEAD using a voltage indicator (GS38 compliant)
8. Test the voltage indicator on a known live source (prove-test-prove method)
9. Apply earthing where required (HV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Authorisation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Activities Permitted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Authorised Person (AP)</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Appointed in writing by duty holder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Issue safety documents, authorise work, HV switching</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Competent Person (CP)</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Demonstrated competence, appointed by AP</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LV work, testing, safe isolation, fault finding</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Skilled Person (Accompanied)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Under direct supervision of CP</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Specific tasks under direct supervision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PAT Tester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PAT testing training</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Portable appliance visual/combined inspection and testing</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Portable Appliance Management</w:t>
      </w:r>
    </w:p>
    <w:p>
      <w:pPr>
        <w:pStyle w:val="ListParagraph"/>
        <w:numPr>
          <w:ilvl w:val="0"/>
          <w:numId w:val="1"/>
        </w:numPr>
        <w:spacing w:after="60" w:line="280"/>
      </w:pPr>
      <w:r>
        <w:rPr>
          <w:rFonts w:ascii="Calibri" w:cs="Calibri" w:eastAsia="Calibri" w:hAnsi="Calibri"/>
          <w:color w:val="333333"/>
          <w:sz w:val="21"/>
          <w:szCs w:val="21"/>
        </w:rPr>
        <w:t xml:space="preserve">All portable appliances registered on the PAT register</w:t>
      </w:r>
    </w:p>
    <w:p>
      <w:pPr>
        <w:pStyle w:val="ListParagraph"/>
        <w:numPr>
          <w:ilvl w:val="0"/>
          <w:numId w:val="1"/>
        </w:numPr>
        <w:spacing w:after="60" w:line="280"/>
      </w:pPr>
      <w:r>
        <w:rPr>
          <w:rFonts w:ascii="Calibri" w:cs="Calibri" w:eastAsia="Calibri" w:hAnsi="Calibri"/>
          <w:color w:val="333333"/>
          <w:sz w:val="21"/>
          <w:szCs w:val="21"/>
        </w:rPr>
        <w:t xml:space="preserve">Visual inspection by user before each use</w:t>
      </w:r>
    </w:p>
    <w:p>
      <w:pPr>
        <w:pStyle w:val="ListParagraph"/>
        <w:numPr>
          <w:ilvl w:val="0"/>
          <w:numId w:val="1"/>
        </w:numPr>
        <w:spacing w:after="60" w:line="280"/>
      </w:pPr>
      <w:r>
        <w:rPr>
          <w:rFonts w:ascii="Calibri" w:cs="Calibri" w:eastAsia="Calibri" w:hAnsi="Calibri"/>
          <w:color w:val="333333"/>
          <w:sz w:val="21"/>
          <w:szCs w:val="21"/>
        </w:rPr>
        <w:t xml:space="preserve">Combined inspection and test at intervals determined by risk assessment</w:t>
      </w:r>
    </w:p>
    <w:p>
      <w:pPr>
        <w:pStyle w:val="ListParagraph"/>
        <w:numPr>
          <w:ilvl w:val="0"/>
          <w:numId w:val="1"/>
        </w:numPr>
        <w:spacing w:after="60" w:line="280"/>
      </w:pPr>
      <w:r>
        <w:rPr>
          <w:rFonts w:ascii="Calibri" w:cs="Calibri" w:eastAsia="Calibri" w:hAnsi="Calibri"/>
          <w:color w:val="333333"/>
          <w:sz w:val="21"/>
          <w:szCs w:val="21"/>
        </w:rPr>
        <w:t xml:space="preserve">Defective appliances — remove from service, tag as defective, report to maintenance</w:t>
      </w:r>
    </w:p>
    <w:p>
      <w:pPr>
        <w:pStyle w:val="ListParagraph"/>
        <w:numPr>
          <w:ilvl w:val="0"/>
          <w:numId w:val="1"/>
        </w:numPr>
        <w:spacing w:after="60" w:line="280"/>
      </w:pPr>
      <w:r>
        <w:rPr>
          <w:rFonts w:ascii="Calibri" w:cs="Calibri" w:eastAsia="Calibri" w:hAnsi="Calibri"/>
          <w:color w:val="333333"/>
          <w:sz w:val="21"/>
          <w:szCs w:val="21"/>
        </w:rPr>
        <w:t xml:space="preserve">110V CTE (Centre Tapped Earth) supply for all portable tools on construction sites</w:t>
      </w:r>
    </w:p>
    <w:p>
      <w:pPr>
        <w:pStyle w:val="Heading1"/>
        <w:pBdr>
          <w:bottom w:val="single" w:color="E8EFF7" w:sz="1"/>
        </w:pBdr>
        <w:spacing w:before="400" w:after="100"/>
      </w:pPr>
      <w:r>
        <w:rPr>
          <w:rFonts w:ascii="Calibri" w:cs="Calibri" w:eastAsia="Calibri" w:hAnsi="Calibri"/>
          <w:b/>
          <w:bCs/>
          <w:color w:val="1B3A5C"/>
          <w:sz w:val="28"/>
          <w:szCs w:val="28"/>
        </w:rPr>
        <w:t xml:space="preserve">7. Emergency Response</w:t>
      </w:r>
    </w:p>
    <w:p>
      <w:pPr>
        <w:spacing w:after="120" w:line="300"/>
      </w:pPr>
      <w:r>
        <w:rPr>
          <w:rFonts w:ascii="Calibri" w:cs="Calibri" w:eastAsia="Calibri" w:hAnsi="Calibri"/>
          <w:color w:val="333333"/>
          <w:sz w:val="21"/>
          <w:szCs w:val="21"/>
        </w:rPr>
        <w:t xml:space="preserve">In the event of an electrical incident:</w:t>
      </w:r>
    </w:p>
    <w:p>
      <w:pPr>
        <w:spacing w:after="120" w:line="300"/>
      </w:pPr>
      <w:r>
        <w:rPr>
          <w:rFonts w:ascii="Calibri" w:cs="Calibri" w:eastAsia="Calibri" w:hAnsi="Calibri"/>
          <w:color w:val="333333"/>
          <w:sz w:val="21"/>
          <w:szCs w:val="21"/>
        </w:rPr>
        <w:t xml:space="preserve">a) DO NOT touch the casualty if they are still in contact with the electrical source
b) Isolate the supply if safe to do so — switch off, disconnect, or use a non-conducting implement
c) Call emergency services (999) — state "electrical injury"
d) If the casualty is not breathing, commence CPR — use an AED if available
e) Treat burns with cool running water — do not apply creams
f) All electrical injuries require hospital assessment (internal injuries may not be immediately apparent)</w:t>
      </w:r>
    </w:p>
    <w:p>
      <w:pPr>
        <w:pStyle w:val="Heading1"/>
        <w:pBdr>
          <w:bottom w:val="single" w:color="E8EFF7" w:sz="1"/>
        </w:pBdr>
        <w:spacing w:before="400" w:after="100"/>
      </w:pPr>
      <w:r>
        <w:rPr>
          <w:rFonts w:ascii="Calibri" w:cs="Calibri" w:eastAsia="Calibri" w:hAnsi="Calibri"/>
          <w:b/>
          <w:bCs/>
          <w:color w:val="1B3A5C"/>
          <w:sz w:val="28"/>
          <w:szCs w:val="28"/>
        </w:rPr>
        <w:t xml:space="preserve">8. Related Documents</w:t>
      </w:r>
    </w:p>
    <w:p>
      <w:pPr>
        <w:pStyle w:val="ListParagraph"/>
        <w:numPr>
          <w:ilvl w:val="0"/>
          <w:numId w:val="1"/>
        </w:numPr>
        <w:spacing w:after="60" w:line="280"/>
      </w:pPr>
      <w:r>
        <w:rPr>
          <w:rFonts w:ascii="Calibri" w:cs="Calibri" w:eastAsia="Calibri" w:hAnsi="Calibri"/>
          <w:color w:val="333333"/>
          <w:sz w:val="21"/>
          <w:szCs w:val="21"/>
        </w:rPr>
        <w:t xml:space="preserve">Electricity at Work Regulations 1989</w:t>
      </w:r>
    </w:p>
    <w:p>
      <w:pPr>
        <w:pStyle w:val="ListParagraph"/>
        <w:numPr>
          <w:ilvl w:val="0"/>
          <w:numId w:val="1"/>
        </w:numPr>
        <w:spacing w:after="60" w:line="280"/>
      </w:pPr>
      <w:r>
        <w:rPr>
          <w:rFonts w:ascii="Calibri" w:cs="Calibri" w:eastAsia="Calibri" w:hAnsi="Calibri"/>
          <w:color w:val="333333"/>
          <w:sz w:val="21"/>
          <w:szCs w:val="21"/>
        </w:rPr>
        <w:t xml:space="preserve">HSR25: Memo of Guidance (Electricity at Work)</w:t>
      </w:r>
    </w:p>
    <w:p>
      <w:pPr>
        <w:pStyle w:val="ListParagraph"/>
        <w:numPr>
          <w:ilvl w:val="0"/>
          <w:numId w:val="1"/>
        </w:numPr>
        <w:spacing w:after="60" w:line="280"/>
      </w:pPr>
      <w:r>
        <w:rPr>
          <w:rFonts w:ascii="Calibri" w:cs="Calibri" w:eastAsia="Calibri" w:hAnsi="Calibri"/>
          <w:color w:val="333333"/>
          <w:sz w:val="21"/>
          <w:szCs w:val="21"/>
        </w:rPr>
        <w:t xml:space="preserve">GS38: Electrical Test Equipment</w:t>
      </w:r>
    </w:p>
    <w:p>
      <w:pPr>
        <w:pStyle w:val="ListParagraph"/>
        <w:numPr>
          <w:ilvl w:val="0"/>
          <w:numId w:val="1"/>
        </w:numPr>
        <w:spacing w:after="60" w:line="280"/>
      </w:pPr>
      <w:r>
        <w:rPr>
          <w:rFonts w:ascii="Calibri" w:cs="Calibri" w:eastAsia="Calibri" w:hAnsi="Calibri"/>
          <w:color w:val="333333"/>
          <w:sz w:val="21"/>
          <w:szCs w:val="21"/>
        </w:rPr>
        <w:t xml:space="preserve">BS 7671: IET Wiring Regulations</w:t>
      </w:r>
    </w:p>
    <w:p>
      <w:pPr>
        <w:pStyle w:val="ListParagraph"/>
        <w:numPr>
          <w:ilvl w:val="0"/>
          <w:numId w:val="1"/>
        </w:numPr>
        <w:spacing w:after="60" w:line="280"/>
      </w:pPr>
      <w:r>
        <w:rPr>
          <w:rFonts w:ascii="Calibri" w:cs="Calibri" w:eastAsia="Calibri" w:hAnsi="Calibri"/>
          <w:color w:val="333333"/>
          <w:sz w:val="21"/>
          <w:szCs w:val="21"/>
        </w:rPr>
        <w:t xml:space="preserve">FRM-006: Permit to Work Form</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SWP-004  |  v1.0  |  ISO 45001:2018 Clause 8.1.2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2026-02-16T15:30:17.907Z</dcterms:created>
  <dcterms:modified xsi:type="dcterms:W3CDTF">2026-02-16T15:30:17.908Z</dcterms:modified>
</cp:coreProperties>
</file>

<file path=docProps/custom.xml><?xml version="1.0" encoding="utf-8"?>
<Properties xmlns="http://schemas.openxmlformats.org/officeDocument/2006/custom-properties" xmlns:vt="http://schemas.openxmlformats.org/officeDocument/2006/docPropsVTypes"/>
</file>