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Safe Working Procedure — COSHH (Hazardous Substances)</w:t>
      </w:r>
    </w:p>
    <w:p>
      <w:pPr>
        <w:spacing w:after="800"/>
        <w:jc w:val="center"/>
      </w:pPr>
      <w:r>
        <w:rPr>
          <w:rFonts w:ascii="Calibri" w:cs="Calibri" w:eastAsia="Calibri" w:hAnsi="Calibri"/>
          <w:color w:val="666666"/>
          <w:sz w:val="24"/>
          <w:szCs w:val="24"/>
        </w:rPr>
        <w:t xml:space="preserve">ISO 45001:2018 Clause 8.1.2 / ISO 14001:2015 Clause 8.1</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SWP-006</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[H&amp;S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control exposure to hazardous substances in the workplace, preventing ill health in compliance with the Control of Substances Hazardous to Health Regulations 2002 (as amended), ISO 45001:2018, and ISO 14001:2015.</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Covers all substances hazardous to health including chemicals, fumes, dusts, vapours, mists, gases, biological agents, and any substance with a Workplace Exposure Limit (WEL). Applies to purchased chemicals, process-generated substances, and naturally occurring hazards (e.g., silica dust, wood dust).</w:t>
      </w:r>
    </w:p>
    <w:p>
      <w:pPr>
        <w:pStyle w:val="Heading1"/>
        <w:pBdr>
          <w:bottom w:val="single" w:color="E8EFF7" w:sz="1"/>
        </w:pBdr>
        <w:spacing w:before="400" w:after="100"/>
      </w:pPr>
      <w:r>
        <w:rPr>
          <w:rFonts w:ascii="Calibri" w:cs="Calibri" w:eastAsia="Calibri" w:hAnsi="Calibri"/>
          <w:b/>
          <w:bCs/>
          <w:color w:val="1B3A5C"/>
          <w:sz w:val="28"/>
          <w:szCs w:val="28"/>
        </w:rPr>
        <w:t xml:space="preserve">3. COSHH Assessment Process</w:t>
      </w:r>
    </w:p>
    <w:p>
      <w:pPr>
        <w:pStyle w:val="ListParagraph"/>
        <w:numPr>
          <w:ilvl w:val="0"/>
          <w:numId w:val="1"/>
        </w:numPr>
        <w:spacing w:after="60" w:line="280"/>
      </w:pPr>
      <w:r>
        <w:rPr>
          <w:rFonts w:ascii="Calibri" w:cs="Calibri" w:eastAsia="Calibri" w:hAnsi="Calibri"/>
          <w:color w:val="333333"/>
          <w:sz w:val="21"/>
          <w:szCs w:val="21"/>
        </w:rPr>
        <w:t xml:space="preserve">Identify all hazardous substances used/generated in each work area</w:t>
      </w:r>
    </w:p>
    <w:p>
      <w:pPr>
        <w:pStyle w:val="ListParagraph"/>
        <w:numPr>
          <w:ilvl w:val="0"/>
          <w:numId w:val="1"/>
        </w:numPr>
        <w:spacing w:after="60" w:line="280"/>
      </w:pPr>
      <w:r>
        <w:rPr>
          <w:rFonts w:ascii="Calibri" w:cs="Calibri" w:eastAsia="Calibri" w:hAnsi="Calibri"/>
          <w:color w:val="333333"/>
          <w:sz w:val="21"/>
          <w:szCs w:val="21"/>
        </w:rPr>
        <w:t xml:space="preserve">Obtain and review Safety Data Sheets (SDS) for all substances</w:t>
      </w:r>
    </w:p>
    <w:p>
      <w:pPr>
        <w:pStyle w:val="ListParagraph"/>
        <w:numPr>
          <w:ilvl w:val="0"/>
          <w:numId w:val="1"/>
        </w:numPr>
        <w:spacing w:after="60" w:line="280"/>
      </w:pPr>
      <w:r>
        <w:rPr>
          <w:rFonts w:ascii="Calibri" w:cs="Calibri" w:eastAsia="Calibri" w:hAnsi="Calibri"/>
          <w:color w:val="333333"/>
          <w:sz w:val="21"/>
          <w:szCs w:val="21"/>
        </w:rPr>
        <w:t xml:space="preserve">Assess exposure — who is exposed, how, how much, how often</w:t>
      </w:r>
    </w:p>
    <w:p>
      <w:pPr>
        <w:pStyle w:val="ListParagraph"/>
        <w:numPr>
          <w:ilvl w:val="0"/>
          <w:numId w:val="1"/>
        </w:numPr>
        <w:spacing w:after="60" w:line="280"/>
      </w:pPr>
      <w:r>
        <w:rPr>
          <w:rFonts w:ascii="Calibri" w:cs="Calibri" w:eastAsia="Calibri" w:hAnsi="Calibri"/>
          <w:color w:val="333333"/>
          <w:sz w:val="21"/>
          <w:szCs w:val="21"/>
        </w:rPr>
        <w:t xml:space="preserve">Determine control measures using the hierarchy of control</w:t>
      </w:r>
    </w:p>
    <w:p>
      <w:pPr>
        <w:pStyle w:val="ListParagraph"/>
        <w:numPr>
          <w:ilvl w:val="0"/>
          <w:numId w:val="1"/>
        </w:numPr>
        <w:spacing w:after="60" w:line="280"/>
      </w:pPr>
      <w:r>
        <w:rPr>
          <w:rFonts w:ascii="Calibri" w:cs="Calibri" w:eastAsia="Calibri" w:hAnsi="Calibri"/>
          <w:color w:val="333333"/>
          <w:sz w:val="21"/>
          <w:szCs w:val="21"/>
        </w:rPr>
        <w:t xml:space="preserve">Record the assessment and communicate findings to affected persons</w:t>
      </w:r>
    </w:p>
    <w:p>
      <w:pPr>
        <w:pStyle w:val="ListParagraph"/>
        <w:numPr>
          <w:ilvl w:val="0"/>
          <w:numId w:val="1"/>
        </w:numPr>
        <w:spacing w:after="60" w:line="280"/>
      </w:pPr>
      <w:r>
        <w:rPr>
          <w:rFonts w:ascii="Calibri" w:cs="Calibri" w:eastAsia="Calibri" w:hAnsi="Calibri"/>
          <w:color w:val="333333"/>
          <w:sz w:val="21"/>
          <w:szCs w:val="21"/>
        </w:rPr>
        <w:t xml:space="preserve">Review assessments annually or when substances/processes change</w:t>
      </w:r>
    </w:p>
    <w:p>
      <w:pPr>
        <w:pStyle w:val="Heading1"/>
        <w:pBdr>
          <w:bottom w:val="single" w:color="E8EFF7" w:sz="1"/>
        </w:pBdr>
        <w:spacing w:before="400" w:after="100"/>
      </w:pPr>
      <w:r>
        <w:rPr>
          <w:rFonts w:ascii="Calibri" w:cs="Calibri" w:eastAsia="Calibri" w:hAnsi="Calibri"/>
          <w:b/>
          <w:bCs/>
          <w:color w:val="1B3A5C"/>
          <w:sz w:val="28"/>
          <w:szCs w:val="28"/>
        </w:rPr>
        <w:t xml:space="preserve">4. Hierarchy of Control</w:t>
      </w:r>
    </w:p>
    <w:p>
      <w:pPr>
        <w:spacing w:after="120" w:line="300"/>
      </w:pPr>
      <w:r>
        <w:rPr>
          <w:rFonts w:ascii="Calibri" w:cs="Calibri" w:eastAsia="Calibri" w:hAnsi="Calibri"/>
          <w:color w:val="333333"/>
          <w:sz w:val="21"/>
          <w:szCs w:val="21"/>
        </w:rPr>
        <w:t xml:space="preserve">1. ELIMINATE — substitute with a non-hazardous or less hazardous substance
2. SUBSTITUTE — use a safer form (e.g., pellets instead of powder to reduce dust)
3. ENCLOSE — totally enclosed process (glove boxes, sealed systems)
4. LOCAL EXHAUST VENTILATION (LEV) — extract at source
5. GENERAL VENTILATION — dilute contaminant concentration
6. SAFE SYSTEMS OF WORK — reduce exposure time, housekeeping procedures
7. PPE — last resort, RPE must be face-fit tested, appropriate to the hazard</w:t>
      </w:r>
    </w:p>
    <w:p>
      <w:pPr>
        <w:pStyle w:val="Heading1"/>
        <w:pBdr>
          <w:bottom w:val="single" w:color="E8EFF7" w:sz="1"/>
        </w:pBdr>
        <w:spacing w:before="400" w:after="100"/>
      </w:pPr>
      <w:r>
        <w:rPr>
          <w:rFonts w:ascii="Calibri" w:cs="Calibri" w:eastAsia="Calibri" w:hAnsi="Calibri"/>
          <w:b/>
          <w:bCs/>
          <w:color w:val="1B3A5C"/>
          <w:sz w:val="28"/>
          <w:szCs w:val="28"/>
        </w:rPr>
        <w:t xml:space="preserve">5. Storage Requirements</w:t>
      </w:r>
    </w:p>
    <w:p>
      <w:pPr>
        <w:pStyle w:val="ListParagraph"/>
        <w:numPr>
          <w:ilvl w:val="0"/>
          <w:numId w:val="1"/>
        </w:numPr>
        <w:spacing w:after="60" w:line="280"/>
      </w:pPr>
      <w:r>
        <w:rPr>
          <w:rFonts w:ascii="Calibri" w:cs="Calibri" w:eastAsia="Calibri" w:hAnsi="Calibri"/>
          <w:color w:val="333333"/>
          <w:sz w:val="21"/>
          <w:szCs w:val="21"/>
        </w:rPr>
        <w:t xml:space="preserve">Store in designated, ventilated chemical storage areas</w:t>
      </w:r>
    </w:p>
    <w:p>
      <w:pPr>
        <w:pStyle w:val="ListParagraph"/>
        <w:numPr>
          <w:ilvl w:val="0"/>
          <w:numId w:val="1"/>
        </w:numPr>
        <w:spacing w:after="60" w:line="280"/>
      </w:pPr>
      <w:r>
        <w:rPr>
          <w:rFonts w:ascii="Calibri" w:cs="Calibri" w:eastAsia="Calibri" w:hAnsi="Calibri"/>
          <w:color w:val="333333"/>
          <w:sz w:val="21"/>
          <w:szCs w:val="21"/>
        </w:rPr>
        <w:t xml:space="preserve">Segregate incompatible chemicals (acids from alkalis, oxidisers from flammables)</w:t>
      </w:r>
    </w:p>
    <w:p>
      <w:pPr>
        <w:pStyle w:val="ListParagraph"/>
        <w:numPr>
          <w:ilvl w:val="0"/>
          <w:numId w:val="1"/>
        </w:numPr>
        <w:spacing w:after="60" w:line="280"/>
      </w:pPr>
      <w:r>
        <w:rPr>
          <w:rFonts w:ascii="Calibri" w:cs="Calibri" w:eastAsia="Calibri" w:hAnsi="Calibri"/>
          <w:color w:val="333333"/>
          <w:sz w:val="21"/>
          <w:szCs w:val="21"/>
        </w:rPr>
        <w:t xml:space="preserve">Flammable liquids in fire-resistant cabinets (&gt;50 litres)</w:t>
      </w:r>
    </w:p>
    <w:p>
      <w:pPr>
        <w:pStyle w:val="ListParagraph"/>
        <w:numPr>
          <w:ilvl w:val="0"/>
          <w:numId w:val="1"/>
        </w:numPr>
        <w:spacing w:after="60" w:line="280"/>
      </w:pPr>
      <w:r>
        <w:rPr>
          <w:rFonts w:ascii="Calibri" w:cs="Calibri" w:eastAsia="Calibri" w:hAnsi="Calibri"/>
          <w:color w:val="333333"/>
          <w:sz w:val="21"/>
          <w:szCs w:val="21"/>
        </w:rPr>
        <w:t xml:space="preserve">All containers labelled with GHS/CLP pictograms and hazard statements</w:t>
      </w:r>
    </w:p>
    <w:p>
      <w:pPr>
        <w:pStyle w:val="ListParagraph"/>
        <w:numPr>
          <w:ilvl w:val="0"/>
          <w:numId w:val="1"/>
        </w:numPr>
        <w:spacing w:after="60" w:line="280"/>
      </w:pPr>
      <w:r>
        <w:rPr>
          <w:rFonts w:ascii="Calibri" w:cs="Calibri" w:eastAsia="Calibri" w:hAnsi="Calibri"/>
          <w:color w:val="333333"/>
          <w:sz w:val="21"/>
          <w:szCs w:val="21"/>
        </w:rPr>
        <w:t xml:space="preserve">Spill containment bunds capable of holding 110% of the largest container</w:t>
      </w:r>
    </w:p>
    <w:p>
      <w:pPr>
        <w:pStyle w:val="ListParagraph"/>
        <w:numPr>
          <w:ilvl w:val="0"/>
          <w:numId w:val="1"/>
        </w:numPr>
        <w:spacing w:after="60" w:line="280"/>
      </w:pPr>
      <w:r>
        <w:rPr>
          <w:rFonts w:ascii="Calibri" w:cs="Calibri" w:eastAsia="Calibri" w:hAnsi="Calibri"/>
          <w:color w:val="333333"/>
          <w:sz w:val="21"/>
          <w:szCs w:val="21"/>
        </w:rPr>
        <w:t xml:space="preserve">COSHH cupboard/store inventory maintained and checked monthly</w:t>
      </w:r>
    </w:p>
    <w:p>
      <w:pPr>
        <w:pStyle w:val="Heading1"/>
        <w:pBdr>
          <w:bottom w:val="single" w:color="E8EFF7" w:sz="1"/>
        </w:pBdr>
        <w:spacing w:before="400" w:after="100"/>
      </w:pPr>
      <w:r>
        <w:rPr>
          <w:rFonts w:ascii="Calibri" w:cs="Calibri" w:eastAsia="Calibri" w:hAnsi="Calibri"/>
          <w:b/>
          <w:bCs/>
          <w:color w:val="1B3A5C"/>
          <w:sz w:val="28"/>
          <w:szCs w:val="28"/>
        </w:rPr>
        <w:t xml:space="preserve">6. Health Surveillance</w:t>
      </w:r>
    </w:p>
    <w:p>
      <w:pPr>
        <w:spacing w:after="120" w:line="300"/>
      </w:pPr>
      <w:r>
        <w:rPr>
          <w:rFonts w:ascii="Calibri" w:cs="Calibri" w:eastAsia="Calibri" w:hAnsi="Calibri"/>
          <w:color w:val="333333"/>
          <w:sz w:val="21"/>
          <w:szCs w:val="21"/>
        </w:rPr>
        <w:t xml:space="preserve">Where COSHH assessment identifies a risk of adverse health effects, health surveillance shall be provided:</w:t>
      </w:r>
    </w:p>
    <w:p>
      <w:pPr>
        <w:spacing w:after="120" w:line="300"/>
      </w:pPr>
      <w:r>
        <w:rPr>
          <w:rFonts w:ascii="Calibri" w:cs="Calibri" w:eastAsia="Calibri" w:hAnsi="Calibri"/>
          <w:color w:val="333333"/>
          <w:sz w:val="21"/>
          <w:szCs w:val="21"/>
        </w:rPr>
        <w:t xml:space="preserve">• Respiratory function tests for workers exposed to respiratory sensitisers
• Skin checks for workers exposed to dermatitis-causing substances
• Biological monitoring where applicable (e.g., blood lead levels)
• Records retained for 40 years</w:t>
      </w:r>
    </w:p>
    <w:p>
      <w:pPr>
        <w:pStyle w:val="Heading1"/>
        <w:pBdr>
          <w:bottom w:val="single" w:color="E8EFF7" w:sz="1"/>
        </w:pBdr>
        <w:spacing w:before="400" w:after="100"/>
      </w:pPr>
      <w:r>
        <w:rPr>
          <w:rFonts w:ascii="Calibri" w:cs="Calibri" w:eastAsia="Calibri" w:hAnsi="Calibri"/>
          <w:b/>
          <w:bCs/>
          <w:color w:val="1B3A5C"/>
          <w:sz w:val="28"/>
          <w:szCs w:val="28"/>
        </w:rPr>
        <w:t xml:space="preserve">7. Emergency Procedures</w:t>
      </w:r>
    </w:p>
    <w:p>
      <w:pPr>
        <w:spacing w:after="120" w:line="300"/>
      </w:pPr>
      <w:r>
        <w:rPr>
          <w:rFonts w:ascii="Calibri" w:cs="Calibri" w:eastAsia="Calibri" w:hAnsi="Calibri"/>
          <w:color w:val="333333"/>
          <w:sz w:val="21"/>
          <w:szCs w:val="21"/>
        </w:rPr>
        <w:t xml:space="preserve">Chemical spill response:</w:t>
      </w:r>
    </w:p>
    <w:p>
      <w:pPr>
        <w:spacing w:after="120" w:line="300"/>
      </w:pPr>
      <w:r>
        <w:rPr>
          <w:rFonts w:ascii="Calibri" w:cs="Calibri" w:eastAsia="Calibri" w:hAnsi="Calibri"/>
          <w:color w:val="333333"/>
          <w:sz w:val="21"/>
          <w:szCs w:val="21"/>
        </w:rPr>
        <w:t xml:space="preserve">a) Evacuate the immediate area — prevent others from entering
b) Consult the SDS for specific spillage instructions
c) Use the appropriate spill kit (acid, alkali, solvent, or universal)
d) Wear correct PPE as specified in the COSHH assessment
e) Contain the spill — prevent entry into drains or watercourses
f) Dispose of contaminated materials as hazardous waste
g) Report the spill to the H&amp;S Manager and Environmental Manager</w:t>
      </w:r>
    </w:p>
    <w:p>
      <w:pPr>
        <w:pStyle w:val="Heading1"/>
        <w:pBdr>
          <w:bottom w:val="single" w:color="E8EFF7" w:sz="1"/>
        </w:pBdr>
        <w:spacing w:before="400" w:after="100"/>
      </w:pPr>
      <w:r>
        <w:rPr>
          <w:rFonts w:ascii="Calibri" w:cs="Calibri" w:eastAsia="Calibri" w:hAnsi="Calibri"/>
          <w:b/>
          <w:bCs/>
          <w:color w:val="1B3A5C"/>
          <w:sz w:val="28"/>
          <w:szCs w:val="28"/>
        </w:rPr>
        <w:t xml:space="preserve">8. Related Documents</w:t>
      </w:r>
    </w:p>
    <w:p>
      <w:pPr>
        <w:pStyle w:val="ListParagraph"/>
        <w:numPr>
          <w:ilvl w:val="0"/>
          <w:numId w:val="1"/>
        </w:numPr>
        <w:spacing w:after="60" w:line="280"/>
      </w:pPr>
      <w:r>
        <w:rPr>
          <w:rFonts w:ascii="Calibri" w:cs="Calibri" w:eastAsia="Calibri" w:hAnsi="Calibri"/>
          <w:color w:val="333333"/>
          <w:sz w:val="21"/>
          <w:szCs w:val="21"/>
        </w:rPr>
        <w:t xml:space="preserve">COSHH Regulations 2002</w:t>
      </w:r>
    </w:p>
    <w:p>
      <w:pPr>
        <w:pStyle w:val="ListParagraph"/>
        <w:numPr>
          <w:ilvl w:val="0"/>
          <w:numId w:val="1"/>
        </w:numPr>
        <w:spacing w:after="60" w:line="280"/>
      </w:pPr>
      <w:r>
        <w:rPr>
          <w:rFonts w:ascii="Calibri" w:cs="Calibri" w:eastAsia="Calibri" w:hAnsi="Calibri"/>
          <w:color w:val="333333"/>
          <w:sz w:val="21"/>
          <w:szCs w:val="21"/>
        </w:rPr>
        <w:t xml:space="preserve">EH40/2005: Workplace Exposure Limits</w:t>
      </w:r>
    </w:p>
    <w:p>
      <w:pPr>
        <w:pStyle w:val="ListParagraph"/>
        <w:numPr>
          <w:ilvl w:val="0"/>
          <w:numId w:val="1"/>
        </w:numPr>
        <w:spacing w:after="60" w:line="280"/>
      </w:pPr>
      <w:r>
        <w:rPr>
          <w:rFonts w:ascii="Calibri" w:cs="Calibri" w:eastAsia="Calibri" w:hAnsi="Calibri"/>
          <w:color w:val="333333"/>
          <w:sz w:val="21"/>
          <w:szCs w:val="21"/>
        </w:rPr>
        <w:t xml:space="preserve">Safety Data Sheet Library</w:t>
      </w:r>
    </w:p>
    <w:p>
      <w:pPr>
        <w:pStyle w:val="ListParagraph"/>
        <w:numPr>
          <w:ilvl w:val="0"/>
          <w:numId w:val="1"/>
        </w:numPr>
        <w:spacing w:after="60" w:line="280"/>
      </w:pPr>
      <w:r>
        <w:rPr>
          <w:rFonts w:ascii="Calibri" w:cs="Calibri" w:eastAsia="Calibri" w:hAnsi="Calibri"/>
          <w:color w:val="333333"/>
          <w:sz w:val="21"/>
          <w:szCs w:val="21"/>
        </w:rPr>
        <w:t xml:space="preserve">FRM-010: Environmental Aspects Register</w:t>
      </w:r>
    </w:p>
    <w:p>
      <w:pPr>
        <w:pStyle w:val="ListParagraph"/>
        <w:numPr>
          <w:ilvl w:val="0"/>
          <w:numId w:val="1"/>
        </w:numPr>
        <w:spacing w:after="60" w:line="280"/>
      </w:pPr>
      <w:r>
        <w:rPr>
          <w:rFonts w:ascii="Calibri" w:cs="Calibri" w:eastAsia="Calibri" w:hAnsi="Calibri"/>
          <w:color w:val="333333"/>
          <w:sz w:val="21"/>
          <w:szCs w:val="21"/>
        </w:rPr>
        <w:t xml:space="preserve">PRO-006: Environmental Aspects &amp; Impacts</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SWP-006  |  v1.0  |  ISO 45001:2018 Clause 8.1.2 / ISO 14001:2015 Clause 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2026-02-16T15:30:18.159Z</dcterms:created>
  <dcterms:modified xsi:type="dcterms:W3CDTF">2026-02-16T15:30:18.159Z</dcterms:modified>
</cp:coreProperties>
</file>

<file path=docProps/custom.xml><?xml version="1.0" encoding="utf-8"?>
<Properties xmlns="http://schemas.openxmlformats.org/officeDocument/2006/custom-properties" xmlns:vt="http://schemas.openxmlformats.org/officeDocument/2006/docPropsVTypes"/>
</file>