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Safe Working Procedure — Excavation &amp; Groundworks</w:t>
      </w:r>
    </w:p>
    <w:p>
      <w:pPr>
        <w:spacing w:after="800"/>
        <w:jc w:val="center"/>
      </w:pPr>
      <w:r>
        <w:rPr>
          <w:rFonts w:ascii="Calibri" w:cs="Calibri" w:eastAsia="Calibri" w:hAnsi="Calibri"/>
          <w:color w:val="666666"/>
          <w:sz w:val="24"/>
          <w:szCs w:val="24"/>
        </w:rPr>
        <w:t xml:space="preserve">ISO 45001:2018 Clause 8.1.2</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SWP-008</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[H&amp;S Manager]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[Operations Director]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Purpose</w:t>
      </w:r>
    </w:p>
    <w:p>
      <w:pPr>
        <w:spacing w:after="120" w:line="300"/>
      </w:pPr>
      <w:r>
        <w:rPr>
          <w:rFonts w:ascii="Calibri" w:cs="Calibri" w:eastAsia="Calibri" w:hAnsi="Calibri"/>
          <w:color w:val="333333"/>
          <w:sz w:val="21"/>
          <w:szCs w:val="21"/>
        </w:rPr>
        <w:t xml:space="preserve">To establish safe systems of work for excavation and groundworks activities, preventing collapse, striking underground services, and falls into excavations.</w:t>
      </w:r>
    </w:p>
    <w:p>
      <w:pPr>
        <w:pStyle w:val="Heading1"/>
        <w:pBdr>
          <w:bottom w:val="single" w:color="E8EFF7" w:sz="1"/>
        </w:pBdr>
        <w:spacing w:before="400" w:after="100"/>
      </w:pPr>
      <w:r>
        <w:rPr>
          <w:rFonts w:ascii="Calibri" w:cs="Calibri" w:eastAsia="Calibri" w:hAnsi="Calibri"/>
          <w:b/>
          <w:bCs/>
          <w:color w:val="1B3A5C"/>
          <w:sz w:val="28"/>
          <w:szCs w:val="28"/>
        </w:rPr>
        <w:t xml:space="preserve">2. Scope</w:t>
      </w:r>
    </w:p>
    <w:p>
      <w:pPr>
        <w:spacing w:after="120" w:line="300"/>
      </w:pPr>
      <w:r>
        <w:rPr>
          <w:rFonts w:ascii="Calibri" w:cs="Calibri" w:eastAsia="Calibri" w:hAnsi="Calibri"/>
          <w:color w:val="333333"/>
          <w:sz w:val="21"/>
          <w:szCs w:val="21"/>
        </w:rPr>
        <w:t xml:space="preserve">Applies to all excavation work including trenching, pits, shafts, tunnelling, foundation excavation, and any disturbance of ground that could affect stability or encounter underground services. Covers hand-dig and machine-dig operations.</w:t>
      </w:r>
    </w:p>
    <w:p>
      <w:pPr>
        <w:pStyle w:val="Heading1"/>
        <w:pBdr>
          <w:bottom w:val="single" w:color="E8EFF7" w:sz="1"/>
        </w:pBdr>
        <w:spacing w:before="400" w:after="100"/>
      </w:pPr>
      <w:r>
        <w:rPr>
          <w:rFonts w:ascii="Calibri" w:cs="Calibri" w:eastAsia="Calibri" w:hAnsi="Calibri"/>
          <w:b/>
          <w:bCs/>
          <w:color w:val="1B3A5C"/>
          <w:sz w:val="28"/>
          <w:szCs w:val="28"/>
        </w:rPr>
        <w:t xml:space="preserve">3. Hazards</w:t>
      </w:r>
    </w:p>
    <w:p>
      <w:pPr>
        <w:pStyle w:val="ListParagraph"/>
        <w:numPr>
          <w:ilvl w:val="0"/>
          <w:numId w:val="1"/>
        </w:numPr>
        <w:spacing w:after="60" w:line="280"/>
      </w:pPr>
      <w:r>
        <w:rPr>
          <w:rFonts w:ascii="Calibri" w:cs="Calibri" w:eastAsia="Calibri" w:hAnsi="Calibri"/>
          <w:color w:val="333333"/>
          <w:sz w:val="21"/>
          <w:szCs w:val="21"/>
        </w:rPr>
        <w:t xml:space="preserve">Collapse of excavation sides — burial and asphyxiation</w:t>
      </w:r>
    </w:p>
    <w:p>
      <w:pPr>
        <w:pStyle w:val="ListParagraph"/>
        <w:numPr>
          <w:ilvl w:val="0"/>
          <w:numId w:val="1"/>
        </w:numPr>
        <w:spacing w:after="60" w:line="280"/>
      </w:pPr>
      <w:r>
        <w:rPr>
          <w:rFonts w:ascii="Calibri" w:cs="Calibri" w:eastAsia="Calibri" w:hAnsi="Calibri"/>
          <w:color w:val="333333"/>
          <w:sz w:val="21"/>
          <w:szCs w:val="21"/>
        </w:rPr>
        <w:t xml:space="preserve">Striking underground services (gas, electricity, water, telecoms, sewers)</w:t>
      </w:r>
    </w:p>
    <w:p>
      <w:pPr>
        <w:pStyle w:val="ListParagraph"/>
        <w:numPr>
          <w:ilvl w:val="0"/>
          <w:numId w:val="1"/>
        </w:numPr>
        <w:spacing w:after="60" w:line="280"/>
      </w:pPr>
      <w:r>
        <w:rPr>
          <w:rFonts w:ascii="Calibri" w:cs="Calibri" w:eastAsia="Calibri" w:hAnsi="Calibri"/>
          <w:color w:val="333333"/>
          <w:sz w:val="21"/>
          <w:szCs w:val="21"/>
        </w:rPr>
        <w:t xml:space="preserve">Falls of persons into excavations</w:t>
      </w:r>
    </w:p>
    <w:p>
      <w:pPr>
        <w:pStyle w:val="ListParagraph"/>
        <w:numPr>
          <w:ilvl w:val="0"/>
          <w:numId w:val="1"/>
        </w:numPr>
        <w:spacing w:after="60" w:line="280"/>
      </w:pPr>
      <w:r>
        <w:rPr>
          <w:rFonts w:ascii="Calibri" w:cs="Calibri" w:eastAsia="Calibri" w:hAnsi="Calibri"/>
          <w:color w:val="333333"/>
          <w:sz w:val="21"/>
          <w:szCs w:val="21"/>
        </w:rPr>
        <w:t xml:space="preserve">Falls of materials/vehicles into excavations</w:t>
      </w:r>
    </w:p>
    <w:p>
      <w:pPr>
        <w:pStyle w:val="ListParagraph"/>
        <w:numPr>
          <w:ilvl w:val="0"/>
          <w:numId w:val="1"/>
        </w:numPr>
        <w:spacing w:after="60" w:line="280"/>
      </w:pPr>
      <w:r>
        <w:rPr>
          <w:rFonts w:ascii="Calibri" w:cs="Calibri" w:eastAsia="Calibri" w:hAnsi="Calibri"/>
          <w:color w:val="333333"/>
          <w:sz w:val="21"/>
          <w:szCs w:val="21"/>
        </w:rPr>
        <w:t xml:space="preserve">Flooding/water ingress</w:t>
      </w:r>
    </w:p>
    <w:p>
      <w:pPr>
        <w:pStyle w:val="ListParagraph"/>
        <w:numPr>
          <w:ilvl w:val="0"/>
          <w:numId w:val="1"/>
        </w:numPr>
        <w:spacing w:after="60" w:line="280"/>
      </w:pPr>
      <w:r>
        <w:rPr>
          <w:rFonts w:ascii="Calibri" w:cs="Calibri" w:eastAsia="Calibri" w:hAnsi="Calibri"/>
          <w:color w:val="333333"/>
          <w:sz w:val="21"/>
          <w:szCs w:val="21"/>
        </w:rPr>
        <w:t xml:space="preserve">Hazardous atmosphere in deep excavations</w:t>
      </w:r>
    </w:p>
    <w:p>
      <w:pPr>
        <w:pStyle w:val="ListParagraph"/>
        <w:numPr>
          <w:ilvl w:val="0"/>
          <w:numId w:val="1"/>
        </w:numPr>
        <w:spacing w:after="60" w:line="280"/>
      </w:pPr>
      <w:r>
        <w:rPr>
          <w:rFonts w:ascii="Calibri" w:cs="Calibri" w:eastAsia="Calibri" w:hAnsi="Calibri"/>
          <w:color w:val="333333"/>
          <w:sz w:val="21"/>
          <w:szCs w:val="21"/>
        </w:rPr>
        <w:t xml:space="preserve">Undermining adjacent structures (buildings, roads, retaining walls)</w:t>
      </w:r>
    </w:p>
    <w:p>
      <w:pPr>
        <w:pStyle w:val="Heading1"/>
        <w:pBdr>
          <w:bottom w:val="single" w:color="E8EFF7" w:sz="1"/>
        </w:pBdr>
        <w:spacing w:before="400" w:after="100"/>
      </w:pPr>
      <w:r>
        <w:rPr>
          <w:rFonts w:ascii="Calibri" w:cs="Calibri" w:eastAsia="Calibri" w:hAnsi="Calibri"/>
          <w:b/>
          <w:bCs/>
          <w:color w:val="1B3A5C"/>
          <w:sz w:val="28"/>
          <w:szCs w:val="28"/>
        </w:rPr>
        <w:t xml:space="preserve">4. Pre-Work Requirements</w:t>
      </w:r>
    </w:p>
    <w:p>
      <w:pPr>
        <w:pStyle w:val="ListParagraph"/>
        <w:numPr>
          <w:ilvl w:val="0"/>
          <w:numId w:val="1"/>
        </w:numPr>
        <w:spacing w:after="60" w:line="280"/>
      </w:pPr>
      <w:r>
        <w:rPr>
          <w:rFonts w:ascii="Calibri" w:cs="Calibri" w:eastAsia="Calibri" w:hAnsi="Calibri"/>
          <w:color w:val="333333"/>
          <w:sz w:val="21"/>
          <w:szCs w:val="21"/>
        </w:rPr>
        <w:t xml:space="preserve">Obtain Excavation Permit (FRM-006 with excavation addendum)</w:t>
      </w:r>
    </w:p>
    <w:p>
      <w:pPr>
        <w:pStyle w:val="ListParagraph"/>
        <w:numPr>
          <w:ilvl w:val="0"/>
          <w:numId w:val="1"/>
        </w:numPr>
        <w:spacing w:after="60" w:line="280"/>
      </w:pPr>
      <w:r>
        <w:rPr>
          <w:rFonts w:ascii="Calibri" w:cs="Calibri" w:eastAsia="Calibri" w:hAnsi="Calibri"/>
          <w:color w:val="333333"/>
          <w:sz w:val="21"/>
          <w:szCs w:val="21"/>
        </w:rPr>
        <w:t xml:space="preserve">Commission underground service detection survey (CAT &amp; Genny scan as minimum)</w:t>
      </w:r>
    </w:p>
    <w:p>
      <w:pPr>
        <w:pStyle w:val="ListParagraph"/>
        <w:numPr>
          <w:ilvl w:val="0"/>
          <w:numId w:val="1"/>
        </w:numPr>
        <w:spacing w:after="60" w:line="280"/>
      </w:pPr>
      <w:r>
        <w:rPr>
          <w:rFonts w:ascii="Calibri" w:cs="Calibri" w:eastAsia="Calibri" w:hAnsi="Calibri"/>
          <w:color w:val="333333"/>
          <w:sz w:val="21"/>
          <w:szCs w:val="21"/>
        </w:rPr>
        <w:t xml:space="preserve">Request utility company records and mark up all known services</w:t>
      </w:r>
    </w:p>
    <w:p>
      <w:pPr>
        <w:pStyle w:val="ListParagraph"/>
        <w:numPr>
          <w:ilvl w:val="0"/>
          <w:numId w:val="1"/>
        </w:numPr>
        <w:spacing w:after="60" w:line="280"/>
      </w:pPr>
      <w:r>
        <w:rPr>
          <w:rFonts w:ascii="Calibri" w:cs="Calibri" w:eastAsia="Calibri" w:hAnsi="Calibri"/>
          <w:color w:val="333333"/>
          <w:sz w:val="21"/>
          <w:szCs w:val="21"/>
        </w:rPr>
        <w:t xml:space="preserve">Hand-dig trial holes within 500mm of any known or suspected service</w:t>
      </w:r>
    </w:p>
    <w:p>
      <w:pPr>
        <w:pStyle w:val="ListParagraph"/>
        <w:numPr>
          <w:ilvl w:val="0"/>
          <w:numId w:val="1"/>
        </w:numPr>
        <w:spacing w:after="60" w:line="280"/>
      </w:pPr>
      <w:r>
        <w:rPr>
          <w:rFonts w:ascii="Calibri" w:cs="Calibri" w:eastAsia="Calibri" w:hAnsi="Calibri"/>
          <w:color w:val="333333"/>
          <w:sz w:val="21"/>
          <w:szCs w:val="21"/>
        </w:rPr>
        <w:t xml:space="preserve">Appoint a competent Temporary Works Coordinator if shoring/support required</w:t>
      </w:r>
    </w:p>
    <w:p>
      <w:pPr>
        <w:pStyle w:val="ListParagraph"/>
        <w:numPr>
          <w:ilvl w:val="0"/>
          <w:numId w:val="1"/>
        </w:numPr>
        <w:spacing w:after="60" w:line="280"/>
      </w:pPr>
      <w:r>
        <w:rPr>
          <w:rFonts w:ascii="Calibri" w:cs="Calibri" w:eastAsia="Calibri" w:hAnsi="Calibri"/>
          <w:color w:val="333333"/>
          <w:sz w:val="21"/>
          <w:szCs w:val="21"/>
        </w:rPr>
        <w:t xml:space="preserve">Assess ground conditions — soil type, water table, adjacent structures, recent weather</w:t>
      </w:r>
    </w:p>
    <w:p>
      <w:pPr>
        <w:pStyle w:val="ListParagraph"/>
        <w:numPr>
          <w:ilvl w:val="0"/>
          <w:numId w:val="1"/>
        </w:numPr>
        <w:spacing w:after="60" w:line="280"/>
      </w:pPr>
      <w:r>
        <w:rPr>
          <w:rFonts w:ascii="Calibri" w:cs="Calibri" w:eastAsia="Calibri" w:hAnsi="Calibri"/>
          <w:color w:val="333333"/>
          <w:sz w:val="21"/>
          <w:szCs w:val="21"/>
        </w:rPr>
        <w:t xml:space="preserve">Plan spoil storage — minimum 1 metre from excavation edge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Method</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Application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Key Requirements</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Battering back</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Open areas, stable ground</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Slope angle determined by soil type (typically 45° for clay)</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Timber shoring</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Trench &lt;6m deep</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Installed by competent person, inspected daily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Trench box/sheets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Deeper trenches, unstable ground</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Rated for excavation depth, installed before entry</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Sheet piling</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Deep excavations near structures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Designed by temporary works engineer</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Benching</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Wide excavations in suitable ground</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Step height ≤1.5m, bench width ≥600mm</w:t>
            </w:r>
          </w:p>
        </w:tc>
      </w:tr>
    </w:tbl>
    <w:p>
      <w:pPr>
        <w:spacing w:after="200"/>
      </w:pPr>
    </w:p>
    <w:p>
      <w:pPr>
        <w:pStyle w:val="Heading1"/>
        <w:pBdr>
          <w:bottom w:val="single" w:color="E8EFF7" w:sz="1"/>
        </w:pBdr>
        <w:spacing w:before="400" w:after="100"/>
      </w:pPr>
      <w:r>
        <w:rPr>
          <w:rFonts w:ascii="Calibri" w:cs="Calibri" w:eastAsia="Calibri" w:hAnsi="Calibri"/>
          <w:b/>
          <w:bCs/>
          <w:color w:val="1B3A5C"/>
          <w:sz w:val="28"/>
          <w:szCs w:val="28"/>
        </w:rPr>
        <w:t xml:space="preserve">6. During Work</w:t>
      </w:r>
    </w:p>
    <w:p>
      <w:pPr>
        <w:pStyle w:val="ListParagraph"/>
        <w:numPr>
          <w:ilvl w:val="0"/>
          <w:numId w:val="1"/>
        </w:numPr>
        <w:spacing w:after="60" w:line="280"/>
      </w:pPr>
      <w:r>
        <w:rPr>
          <w:rFonts w:ascii="Calibri" w:cs="Calibri" w:eastAsia="Calibri" w:hAnsi="Calibri"/>
          <w:color w:val="333333"/>
          <w:sz w:val="21"/>
          <w:szCs w:val="21"/>
        </w:rPr>
        <w:t xml:space="preserve">Competent person inspects excavation at start of each shift, after rain, and after any event affecting stability</w:t>
      </w:r>
    </w:p>
    <w:p>
      <w:pPr>
        <w:pStyle w:val="ListParagraph"/>
        <w:numPr>
          <w:ilvl w:val="0"/>
          <w:numId w:val="1"/>
        </w:numPr>
        <w:spacing w:after="60" w:line="280"/>
      </w:pPr>
      <w:r>
        <w:rPr>
          <w:rFonts w:ascii="Calibri" w:cs="Calibri" w:eastAsia="Calibri" w:hAnsi="Calibri"/>
          <w:color w:val="333333"/>
          <w:sz w:val="21"/>
          <w:szCs w:val="21"/>
        </w:rPr>
        <w:t xml:space="preserve">Edge protection (guardrails + toe boards) on all excavations &gt;2m deep or adjacent to pedestrian/vehicle routes</w:t>
      </w:r>
    </w:p>
    <w:p>
      <w:pPr>
        <w:pStyle w:val="ListParagraph"/>
        <w:numPr>
          <w:ilvl w:val="0"/>
          <w:numId w:val="1"/>
        </w:numPr>
        <w:spacing w:after="60" w:line="280"/>
      </w:pPr>
      <w:r>
        <w:rPr>
          <w:rFonts w:ascii="Calibri" w:cs="Calibri" w:eastAsia="Calibri" w:hAnsi="Calibri"/>
          <w:color w:val="333333"/>
          <w:sz w:val="21"/>
          <w:szCs w:val="21"/>
        </w:rPr>
        <w:t xml:space="preserve">Safe means of access/egress within 15 metres of any working position (ladders secured at top)</w:t>
      </w:r>
    </w:p>
    <w:p>
      <w:pPr>
        <w:pStyle w:val="ListParagraph"/>
        <w:numPr>
          <w:ilvl w:val="0"/>
          <w:numId w:val="1"/>
        </w:numPr>
        <w:spacing w:after="60" w:line="280"/>
      </w:pPr>
      <w:r>
        <w:rPr>
          <w:rFonts w:ascii="Calibri" w:cs="Calibri" w:eastAsia="Calibri" w:hAnsi="Calibri"/>
          <w:color w:val="333333"/>
          <w:sz w:val="21"/>
          <w:szCs w:val="21"/>
        </w:rPr>
        <w:t xml:space="preserve">No vehicles or heavy plant within 2 metres of excavation edge unless battered back or adequately supported</w:t>
      </w:r>
    </w:p>
    <w:p>
      <w:pPr>
        <w:pStyle w:val="ListParagraph"/>
        <w:numPr>
          <w:ilvl w:val="0"/>
          <w:numId w:val="1"/>
        </w:numPr>
        <w:spacing w:after="60" w:line="280"/>
      </w:pPr>
      <w:r>
        <w:rPr>
          <w:rFonts w:ascii="Calibri" w:cs="Calibri" w:eastAsia="Calibri" w:hAnsi="Calibri"/>
          <w:color w:val="333333"/>
          <w:sz w:val="21"/>
          <w:szCs w:val="21"/>
        </w:rPr>
        <w:t xml:space="preserve">Continuous atmospheric monitoring for excavations &gt;3m deep or where contaminated ground suspected</w:t>
      </w:r>
    </w:p>
    <w:p>
      <w:pPr>
        <w:pStyle w:val="ListParagraph"/>
        <w:numPr>
          <w:ilvl w:val="0"/>
          <w:numId w:val="1"/>
        </w:numPr>
        <w:spacing w:after="60" w:line="280"/>
      </w:pPr>
      <w:r>
        <w:rPr>
          <w:rFonts w:ascii="Calibri" w:cs="Calibri" w:eastAsia="Calibri" w:hAnsi="Calibri"/>
          <w:color w:val="333333"/>
          <w:sz w:val="21"/>
          <w:szCs w:val="21"/>
        </w:rPr>
        <w:t xml:space="preserve">Stop work immediately if any signs of instability, unexpected services, or contamination</w:t>
      </w:r>
    </w:p>
    <w:p>
      <w:pPr>
        <w:pStyle w:val="Heading1"/>
        <w:pBdr>
          <w:bottom w:val="single" w:color="E8EFF7" w:sz="1"/>
        </w:pBdr>
        <w:spacing w:before="400" w:after="100"/>
      </w:pPr>
      <w:r>
        <w:rPr>
          <w:rFonts w:ascii="Calibri" w:cs="Calibri" w:eastAsia="Calibri" w:hAnsi="Calibri"/>
          <w:b/>
          <w:bCs/>
          <w:color w:val="1B3A5C"/>
          <w:sz w:val="28"/>
          <w:szCs w:val="28"/>
        </w:rPr>
        <w:t xml:space="preserve">7. Backfill &amp; Reinstatement</w:t>
      </w:r>
    </w:p>
    <w:p>
      <w:pPr>
        <w:spacing w:after="120" w:line="300"/>
      </w:pPr>
      <w:r>
        <w:rPr>
          <w:rFonts w:ascii="Calibri" w:cs="Calibri" w:eastAsia="Calibri" w:hAnsi="Calibri"/>
          <w:color w:val="333333"/>
          <w:sz w:val="21"/>
          <w:szCs w:val="21"/>
        </w:rPr>
        <w:t xml:space="preserve">a) Remove all support materials from the bottom up (never all at once)
b) Compact backfill in layers as specified by the engineer
c) Reinstate surfaces to original condition
d) Update as-built drawings with any relocated or newly discovered services
e) Remove all edge protection only when excavation is fully backfilled</w:t>
      </w:r>
    </w:p>
    <w:p>
      <w:pPr>
        <w:pStyle w:val="Heading1"/>
        <w:pBdr>
          <w:bottom w:val="single" w:color="E8EFF7" w:sz="1"/>
        </w:pBdr>
        <w:spacing w:before="400" w:after="100"/>
      </w:pPr>
      <w:r>
        <w:rPr>
          <w:rFonts w:ascii="Calibri" w:cs="Calibri" w:eastAsia="Calibri" w:hAnsi="Calibri"/>
          <w:b/>
          <w:bCs/>
          <w:color w:val="1B3A5C"/>
          <w:sz w:val="28"/>
          <w:szCs w:val="28"/>
        </w:rPr>
        <w:t xml:space="preserve">8. Related Documents</w:t>
      </w:r>
    </w:p>
    <w:p>
      <w:pPr>
        <w:pStyle w:val="ListParagraph"/>
        <w:numPr>
          <w:ilvl w:val="0"/>
          <w:numId w:val="1"/>
        </w:numPr>
        <w:spacing w:after="60" w:line="280"/>
      </w:pPr>
      <w:r>
        <w:rPr>
          <w:rFonts w:ascii="Calibri" w:cs="Calibri" w:eastAsia="Calibri" w:hAnsi="Calibri"/>
          <w:color w:val="333333"/>
          <w:sz w:val="21"/>
          <w:szCs w:val="21"/>
        </w:rPr>
        <w:t xml:space="preserve">FRM-006: Permit to Work Form</w:t>
      </w:r>
    </w:p>
    <w:p>
      <w:pPr>
        <w:pStyle w:val="ListParagraph"/>
        <w:numPr>
          <w:ilvl w:val="0"/>
          <w:numId w:val="1"/>
        </w:numPr>
        <w:spacing w:after="60" w:line="280"/>
      </w:pPr>
      <w:r>
        <w:rPr>
          <w:rFonts w:ascii="Calibri" w:cs="Calibri" w:eastAsia="Calibri" w:hAnsi="Calibri"/>
          <w:color w:val="333333"/>
          <w:sz w:val="21"/>
          <w:szCs w:val="21"/>
        </w:rPr>
        <w:t xml:space="preserve">HSG47: Avoiding Danger from Underground Services</w:t>
      </w:r>
    </w:p>
    <w:p>
      <w:pPr>
        <w:pStyle w:val="ListParagraph"/>
        <w:numPr>
          <w:ilvl w:val="0"/>
          <w:numId w:val="1"/>
        </w:numPr>
        <w:spacing w:after="60" w:line="280"/>
      </w:pPr>
      <w:r>
        <w:rPr>
          <w:rFonts w:ascii="Calibri" w:cs="Calibri" w:eastAsia="Calibri" w:hAnsi="Calibri"/>
          <w:color w:val="333333"/>
          <w:sz w:val="21"/>
          <w:szCs w:val="21"/>
        </w:rPr>
        <w:t xml:space="preserve">BS 6031: Code of Practice for Earthworks</w:t>
      </w:r>
    </w:p>
    <w:p>
      <w:pPr>
        <w:pStyle w:val="ListParagraph"/>
        <w:numPr>
          <w:ilvl w:val="0"/>
          <w:numId w:val="1"/>
        </w:numPr>
        <w:spacing w:after="60" w:line="280"/>
      </w:pPr>
      <w:r>
        <w:rPr>
          <w:rFonts w:ascii="Calibri" w:cs="Calibri" w:eastAsia="Calibri" w:hAnsi="Calibri"/>
          <w:color w:val="333333"/>
          <w:sz w:val="21"/>
          <w:szCs w:val="21"/>
        </w:rPr>
        <w:t xml:space="preserve">CDM Regulations 2015</w:t>
      </w:r>
    </w:p>
    <w:p>
      <w:pPr>
        <w:pStyle w:val="ListParagraph"/>
        <w:numPr>
          <w:ilvl w:val="0"/>
          <w:numId w:val="1"/>
        </w:numPr>
        <w:spacing w:after="60" w:line="280"/>
      </w:pPr>
      <w:r>
        <w:rPr>
          <w:rFonts w:ascii="Calibri" w:cs="Calibri" w:eastAsia="Calibri" w:hAnsi="Calibri"/>
          <w:color w:val="333333"/>
          <w:sz w:val="21"/>
          <w:szCs w:val="21"/>
        </w:rPr>
        <w:t xml:space="preserve">PRO-005: HIRA Procedure</w:t>
      </w: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SWP-008  |  v1.0  |  ISO 45001:2018 Clause 8.1.2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2026-02-16T15:30:18.423Z</dcterms:created>
  <dcterms:modified xsi:type="dcterms:W3CDTF">2026-02-16T15:30:18.423Z</dcterms:modified>
</cp:coreProperties>
</file>

<file path=docProps/custom.xml><?xml version="1.0" encoding="utf-8"?>
<Properties xmlns="http://schemas.openxmlformats.org/officeDocument/2006/custom-properties" xmlns:vt="http://schemas.openxmlformats.org/officeDocument/2006/docPropsVTypes"/>
</file>