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CD65E3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E2F8E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CD65E3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bookmarkStart w:id="11" w:name="_GoBack"/>
            <w:bookmarkEnd w:id="11"/>
            <w:r w:rsidR="00CD3DEC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CD65E3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2"/>
      <w:bookmarkEnd w:id="13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4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D65E3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D65E3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D65E3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CD65E3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D65E3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D65E3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D65E3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D65E3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D65E3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D65E3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4"/>
    <w:p w:rsidR="00FD0E3B" w:rsidRPr="00D6463B" w:rsidRDefault="009B2BEE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Anatoli App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5" w:name="_Toc193050242"/>
      <w:bookmarkStart w:id="16" w:name="_Toc388089308"/>
      <w:bookmarkStart w:id="17" w:name="_Toc391470326"/>
      <w:r w:rsidRPr="0057366D">
        <w:rPr>
          <w:rFonts w:hint="cs"/>
          <w:rtl/>
        </w:rPr>
        <w:t>مقدمه</w:t>
      </w:r>
      <w:bookmarkEnd w:id="15"/>
      <w:bookmarkEnd w:id="16"/>
      <w:bookmarkEnd w:id="17"/>
    </w:p>
    <w:p w:rsidR="00D35244" w:rsidRPr="00D35244" w:rsidRDefault="00D35244" w:rsidP="009B2BE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>Anatoli App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8" w:name="_Toc42843197"/>
      <w:bookmarkStart w:id="19" w:name="_Toc210902762"/>
      <w:bookmarkStart w:id="20" w:name="_Toc193050243"/>
      <w:bookmarkStart w:id="21" w:name="_Toc388089309"/>
      <w:bookmarkStart w:id="22" w:name="_Toc391470327"/>
      <w:r w:rsidRPr="000A5F73">
        <w:rPr>
          <w:rFonts w:hint="cs"/>
          <w:rtl/>
        </w:rPr>
        <w:t>هدف</w:t>
      </w:r>
      <w:bookmarkEnd w:id="18"/>
      <w:bookmarkEnd w:id="19"/>
      <w:bookmarkEnd w:id="20"/>
      <w:bookmarkEnd w:id="21"/>
      <w:bookmarkEnd w:id="22"/>
    </w:p>
    <w:p w:rsidR="0028367D" w:rsidRDefault="0028367D" w:rsidP="009B2BE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>Anatoli App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3" w:name="_Toc225004896"/>
      <w:bookmarkStart w:id="24" w:name="_Toc193050244"/>
      <w:bookmarkStart w:id="25" w:name="_Toc388089310"/>
      <w:bookmarkStart w:id="26" w:name="_Toc391470328"/>
      <w:r w:rsidRPr="00823E1F">
        <w:rPr>
          <w:rtl/>
        </w:rPr>
        <w:t>محدوده</w:t>
      </w:r>
      <w:bookmarkEnd w:id="23"/>
      <w:bookmarkEnd w:id="24"/>
      <w:bookmarkEnd w:id="25"/>
      <w:bookmarkEnd w:id="26"/>
    </w:p>
    <w:p w:rsidR="00DF1F46" w:rsidRDefault="00904602" w:rsidP="00870668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>Anatoli App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7" w:name="_Toc225004897"/>
      <w:bookmarkStart w:id="28" w:name="_Toc193050245"/>
      <w:bookmarkStart w:id="29" w:name="_Toc388089311"/>
      <w:bookmarkStart w:id="30" w:name="_Toc391470329"/>
      <w:r>
        <w:rPr>
          <w:rtl/>
        </w:rPr>
        <w:t>مراجع</w:t>
      </w:r>
      <w:bookmarkEnd w:id="27"/>
      <w:bookmarkEnd w:id="28"/>
      <w:bookmarkEnd w:id="29"/>
      <w:bookmarkEnd w:id="30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1" w:name="_Toc20803645"/>
      <w:bookmarkStart w:id="32" w:name="_Toc20804785"/>
      <w:bookmarkStart w:id="33" w:name="_Toc62217822"/>
      <w:bookmarkStart w:id="34" w:name="_Toc73196921"/>
      <w:bookmarkStart w:id="35" w:name="_Toc73205461"/>
      <w:bookmarkStart w:id="36" w:name="_Toc92357647"/>
      <w:bookmarkStart w:id="37" w:name="_Toc193050246"/>
      <w:bookmarkStart w:id="38" w:name="_Toc388089312"/>
      <w:bookmarkStart w:id="39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61E12" w:rsidRPr="0008703B" w:rsidRDefault="00A61E12" w:rsidP="00E661FA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>Anatoli App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40" w:name="_Toc225004898"/>
      <w:bookmarkStart w:id="41" w:name="_Toc193050247"/>
      <w:bookmarkStart w:id="42" w:name="_Toc388089313"/>
      <w:bookmarkStart w:id="43" w:name="_Toc391470331"/>
      <w:r w:rsidRPr="002C139A">
        <w:rPr>
          <w:rtl/>
        </w:rPr>
        <w:t>مرور</w:t>
      </w:r>
      <w:bookmarkEnd w:id="40"/>
      <w:bookmarkEnd w:id="41"/>
      <w:bookmarkEnd w:id="42"/>
      <w:bookmarkEnd w:id="43"/>
    </w:p>
    <w:p w:rsidR="00A61E12" w:rsidRDefault="00A61E12" w:rsidP="00E661F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App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4" w:name="_Toc225004899"/>
      <w:bookmarkStart w:id="45" w:name="_Toc193050248"/>
      <w:bookmarkStart w:id="46" w:name="_Toc388089314"/>
      <w:bookmarkStart w:id="47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4"/>
      <w:bookmarkEnd w:id="45"/>
      <w:bookmarkEnd w:id="46"/>
      <w:bookmarkEnd w:id="47"/>
    </w:p>
    <w:p w:rsidR="00A61E12" w:rsidRDefault="00A61E12" w:rsidP="004B7104">
      <w:pPr>
        <w:pStyle w:val="Heading2"/>
        <w:spacing w:after="0"/>
        <w:rPr>
          <w:rtl/>
        </w:rPr>
      </w:pPr>
      <w:bookmarkStart w:id="48" w:name="_Toc225004900"/>
      <w:bookmarkStart w:id="49" w:name="_Toc193050250"/>
      <w:bookmarkStart w:id="50" w:name="_Toc388089316"/>
      <w:bookmarkStart w:id="51" w:name="_Toc391470333"/>
      <w:r>
        <w:rPr>
          <w:rtl/>
        </w:rPr>
        <w:t>شرح مسأله</w:t>
      </w:r>
      <w:bookmarkEnd w:id="48"/>
      <w:bookmarkEnd w:id="49"/>
      <w:bookmarkEnd w:id="50"/>
      <w:bookmarkEnd w:id="51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lastRenderedPageBreak/>
              <w:t>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>Anatoli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2" w:name="_Toc193050254"/>
      <w:bookmarkStart w:id="53" w:name="_Toc388089322"/>
      <w:bookmarkStart w:id="54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2"/>
      <w:bookmarkEnd w:id="53"/>
      <w:bookmarkEnd w:id="54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>Anatoli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5" w:name="_Toc388089317"/>
      <w:bookmarkStart w:id="56" w:name="_Toc391470335"/>
      <w:r>
        <w:rPr>
          <w:rFonts w:hint="cs"/>
          <w:rtl/>
        </w:rPr>
        <w:t>برخي كاربردهاي محصول</w:t>
      </w:r>
      <w:bookmarkEnd w:id="55"/>
      <w:bookmarkEnd w:id="56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lastRenderedPageBreak/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EA" w:rsidRDefault="00BE52EA" w:rsidP="000F4D1B">
      <w:pPr>
        <w:spacing w:after="0" w:line="240" w:lineRule="auto"/>
      </w:pPr>
      <w:r>
        <w:separator/>
      </w:r>
    </w:p>
  </w:endnote>
  <w:endnote w:type="continuationSeparator" w:id="0">
    <w:p w:rsidR="00BE52EA" w:rsidRDefault="00BE52E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5E3" w:rsidRPr="00617EA3" w:rsidRDefault="00CD65E3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D65E3" w:rsidTr="00D75A7B">
      <w:trPr>
        <w:trHeight w:val="440"/>
      </w:trPr>
      <w:tc>
        <w:tcPr>
          <w:tcW w:w="8306" w:type="dxa"/>
        </w:tcPr>
        <w:p w:rsidR="00CD65E3" w:rsidRPr="005E155F" w:rsidRDefault="00CD65E3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CD65E3" w:rsidRPr="00D75A7B" w:rsidRDefault="00CD65E3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F241C" w:rsidRPr="006F241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D65E3" w:rsidRPr="00617EA3" w:rsidRDefault="00CD65E3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EA" w:rsidRDefault="00BE52EA" w:rsidP="000F4D1B">
      <w:pPr>
        <w:spacing w:after="0" w:line="240" w:lineRule="auto"/>
      </w:pPr>
      <w:r>
        <w:separator/>
      </w:r>
    </w:p>
  </w:footnote>
  <w:footnote w:type="continuationSeparator" w:id="0">
    <w:p w:rsidR="00BE52EA" w:rsidRDefault="00BE52E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D65E3" w:rsidTr="00ED579C">
      <w:trPr>
        <w:jc w:val="center"/>
      </w:trPr>
      <w:tc>
        <w:tcPr>
          <w:tcW w:w="5528" w:type="dxa"/>
          <w:shd w:val="clear" w:color="auto" w:fill="auto"/>
        </w:tcPr>
        <w:p w:rsidR="00CD65E3" w:rsidRPr="0041289D" w:rsidRDefault="00CD65E3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D65E3" w:rsidRPr="006B1386" w:rsidRDefault="00CD65E3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CD65E3" w:rsidTr="00ED579C">
      <w:trPr>
        <w:jc w:val="center"/>
      </w:trPr>
      <w:tc>
        <w:tcPr>
          <w:tcW w:w="5528" w:type="dxa"/>
          <w:shd w:val="clear" w:color="auto" w:fill="auto"/>
        </w:tcPr>
        <w:p w:rsidR="00CD65E3" w:rsidRPr="0041289D" w:rsidRDefault="00CD65E3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CD65E3" w:rsidRPr="005E65FF" w:rsidRDefault="00CD65E3" w:rsidP="00C83DD9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AA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CD65E3" w:rsidRDefault="00CD65E3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9E055767-0553-4507-AC63-261AA8D0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319</cp:revision>
  <cp:lastPrinted>2014-07-07T10:39:00Z</cp:lastPrinted>
  <dcterms:created xsi:type="dcterms:W3CDTF">2014-07-13T08:02:00Z</dcterms:created>
  <dcterms:modified xsi:type="dcterms:W3CDTF">2016-01-11T13:55:00Z</dcterms:modified>
</cp:coreProperties>
</file>