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484CD6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484CD6" w:rsidP="005F41B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5F41B4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Market Census Console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484CD6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484C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MCC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484CD6" w:rsidP="00484CD6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30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01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484CD6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484CD6">
              <w:rPr>
                <w:color w:val="1F497D"/>
                <w:sz w:val="28"/>
                <w:szCs w:val="28"/>
                <w:lang w:bidi="ar-SA"/>
              </w:rPr>
              <w:t>Market Census Console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357D27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357D27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357D27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357D27">
              <w:rPr>
                <w:color w:val="1F497D"/>
                <w:sz w:val="28"/>
                <w:szCs w:val="28"/>
                <w:lang w:bidi="ar-SA"/>
              </w:rPr>
              <w:t>Market Census Console</w:t>
            </w:r>
            <w:r w:rsidR="00357D27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357D27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484CD6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7673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30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/0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484CD6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484CD6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484CD6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484CD6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484CD6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484CD6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484CD6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484CD6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484CD6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484CD6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A76736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Market Census Console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E624AD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E624AD">
        <w:rPr>
          <w:sz w:val="28"/>
          <w:szCs w:val="28"/>
          <w:lang w:bidi="ar-SA"/>
        </w:rPr>
        <w:t>Market Census Console</w:t>
      </w:r>
      <w:r w:rsidR="00E624AD">
        <w:rPr>
          <w:rFonts w:hint="cs"/>
          <w:sz w:val="28"/>
          <w:szCs w:val="28"/>
          <w:rtl/>
          <w:lang w:bidi="fa-IR"/>
        </w:rPr>
        <w:t xml:space="preserve"> </w:t>
      </w:r>
      <w:r w:rsidR="009B2BEE">
        <w:rPr>
          <w:rFonts w:hint="cs"/>
          <w:sz w:val="28"/>
          <w:szCs w:val="28"/>
          <w:rtl/>
          <w:lang w:bidi="fa-IR"/>
        </w:rPr>
        <w:t>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2009F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2009F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2009FE">
        <w:rPr>
          <w:rFonts w:hint="cs"/>
          <w:rtl/>
          <w:lang w:bidi="fa-IR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C64E24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C64E24">
        <w:t>Market Census Console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A01F7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A01F7">
        <w:rPr>
          <w:rFonts w:hint="cs"/>
          <w:sz w:val="28"/>
          <w:szCs w:val="28"/>
          <w:rtl/>
          <w:lang w:bidi="ar-SA"/>
        </w:rPr>
        <w:t xml:space="preserve"> </w:t>
      </w:r>
      <w:r w:rsidR="00DA01F7">
        <w:t>Market Census Console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8241B4" w:rsidP="00D51A2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ar-SA"/>
              </w:rPr>
              <w:t>جمع آوری اطلاعات بازار، یکی از مهم ترین اقدام مارکتینگ شرکت</w:t>
            </w:r>
            <w:r w:rsidR="00A317E8">
              <w:rPr>
                <w:rFonts w:hint="cs"/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 xml:space="preserve"> در جهت مانیتورینگ</w:t>
            </w:r>
            <w:r w:rsidR="000420A9">
              <w:rPr>
                <w:rFonts w:hint="cs"/>
                <w:rtl/>
                <w:lang w:bidi="ar-SA"/>
              </w:rPr>
              <w:t xml:space="preserve"> بازخورد محصولات خود در بازار و</w:t>
            </w:r>
            <w:r>
              <w:rPr>
                <w:rFonts w:hint="cs"/>
                <w:rtl/>
                <w:lang w:bidi="ar-SA"/>
              </w:rPr>
              <w:t xml:space="preserve"> اقدامات رقبا میباشد. این اقدام میتواند با صورت منظم و موضوعی</w:t>
            </w:r>
            <w:r w:rsidR="00A9025D">
              <w:rPr>
                <w:rFonts w:hint="cs"/>
                <w:rtl/>
                <w:lang w:bidi="ar-SA"/>
              </w:rPr>
              <w:t xml:space="preserve"> توسط </w:t>
            </w:r>
            <w:r w:rsidR="00A9025D">
              <w:rPr>
                <w:rFonts w:hint="cs"/>
                <w:rtl/>
                <w:lang w:bidi="ar-SA"/>
              </w:rPr>
              <w:lastRenderedPageBreak/>
              <w:t>پرسشگر(ویزیتور)های شرکت</w:t>
            </w:r>
            <w:r>
              <w:rPr>
                <w:rFonts w:hint="cs"/>
                <w:rtl/>
                <w:lang w:bidi="ar-SA"/>
              </w:rPr>
              <w:t xml:space="preserve"> انجام گیرد.</w:t>
            </w:r>
            <w:r w:rsidR="00A9025D">
              <w:rPr>
                <w:rFonts w:hint="cs"/>
                <w:rtl/>
                <w:lang w:bidi="ar-SA"/>
              </w:rPr>
              <w:t xml:space="preserve"> و مجموع اطلاعات بدست آمده از آن بعنوان پایگاه داده ای برای </w:t>
            </w:r>
            <w:r w:rsidR="005616F7">
              <w:rPr>
                <w:rFonts w:hint="cs"/>
                <w:rtl/>
                <w:lang w:bidi="ar-SA"/>
              </w:rPr>
              <w:t xml:space="preserve">تصمیم گیری های واحد </w:t>
            </w:r>
            <w:r w:rsidR="000420A9">
              <w:rPr>
                <w:rFonts w:hint="cs"/>
                <w:rtl/>
                <w:lang w:bidi="ar-SA"/>
              </w:rPr>
              <w:t xml:space="preserve">تولید و یا </w:t>
            </w:r>
            <w:r w:rsidR="005616F7">
              <w:rPr>
                <w:rFonts w:hint="cs"/>
                <w:rtl/>
                <w:lang w:bidi="ar-SA"/>
              </w:rPr>
              <w:t xml:space="preserve">فروش </w:t>
            </w:r>
            <w:r w:rsidR="000420A9">
              <w:rPr>
                <w:rFonts w:hint="cs"/>
                <w:rtl/>
                <w:lang w:bidi="ar-SA"/>
              </w:rPr>
              <w:t>شرکت مورد استفاده قرار میگیرد.</w:t>
            </w:r>
            <w:r w:rsidR="005616F7">
              <w:rPr>
                <w:rFonts w:hint="cs"/>
                <w:rtl/>
                <w:lang w:bidi="ar-SA"/>
              </w:rPr>
              <w:t xml:space="preserve"> </w:t>
            </w:r>
            <w:r w:rsidR="00854BA3">
              <w:rPr>
                <w:rFonts w:hint="cs"/>
                <w:rtl/>
                <w:lang w:bidi="ar-SA"/>
              </w:rPr>
              <w:t xml:space="preserve">مکانیزه کردن این </w:t>
            </w:r>
            <w:r w:rsidR="003F5F1E">
              <w:rPr>
                <w:rFonts w:hint="cs"/>
                <w:rtl/>
                <w:lang w:bidi="ar-SA"/>
              </w:rPr>
              <w:t xml:space="preserve">مانیتورینگ دارای مزایای دقت و یکپارچگی </w:t>
            </w:r>
            <w:r w:rsidR="001F4ADC">
              <w:rPr>
                <w:rFonts w:hint="cs"/>
                <w:rtl/>
                <w:lang w:bidi="ar-SA"/>
              </w:rPr>
              <w:t>و ... میباشد که شرکت ورانگر، برای پیاده سازی این منظور،</w:t>
            </w:r>
            <w:r w:rsidR="00854BA3">
              <w:rPr>
                <w:rFonts w:hint="cs"/>
                <w:rtl/>
                <w:lang w:bidi="ar-SA"/>
              </w:rPr>
              <w:t xml:space="preserve"> دو نرم افزار جمع آوری اطلاعات بازار تهیه </w:t>
            </w:r>
            <w:r w:rsidR="001F4ADC">
              <w:rPr>
                <w:rFonts w:hint="cs"/>
                <w:rtl/>
                <w:lang w:bidi="ar-SA"/>
              </w:rPr>
              <w:t>کرده است</w:t>
            </w:r>
            <w:r w:rsidR="00854BA3">
              <w:rPr>
                <w:rFonts w:hint="cs"/>
                <w:rtl/>
                <w:lang w:bidi="ar-SA"/>
              </w:rPr>
              <w:t>. یکی نرم افزار کنسول مدیریتی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وب)</w:t>
            </w:r>
            <w:r w:rsidR="00854BA3">
              <w:rPr>
                <w:rFonts w:hint="cs"/>
                <w:rtl/>
                <w:lang w:bidi="ar-SA"/>
              </w:rPr>
              <w:t xml:space="preserve"> و دیگری نرم افزار تبلت پرسشگر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اندروید)</w:t>
            </w:r>
            <w:r w:rsidR="00854BA3">
              <w:rPr>
                <w:rFonts w:hint="cs"/>
                <w:rtl/>
                <w:lang w:bidi="ar-SA"/>
              </w:rPr>
              <w:t xml:space="preserve"> می باشد. فرایند طراحی پرسشنامه و تنظیم پارامترها در نرم افزار کنسول</w:t>
            </w:r>
            <w:r w:rsidR="00691960">
              <w:rPr>
                <w:rFonts w:hint="cs"/>
                <w:rtl/>
                <w:lang w:bidi="ar-SA"/>
              </w:rPr>
              <w:t xml:space="preserve"> توسط مدیر و یا اپراتور </w:t>
            </w:r>
            <w:r w:rsidR="00854BA3">
              <w:rPr>
                <w:rFonts w:hint="cs"/>
                <w:rtl/>
                <w:lang w:bidi="ar-SA"/>
              </w:rPr>
              <w:t xml:space="preserve"> و پر کردن پرسشنامه ها توسط پرسشگر و از طریق نرم </w:t>
            </w:r>
            <w:r w:rsidR="009E6959">
              <w:rPr>
                <w:rFonts w:hint="cs"/>
                <w:rtl/>
                <w:lang w:bidi="ar-SA"/>
              </w:rPr>
              <w:t>ا</w:t>
            </w:r>
            <w:r w:rsidR="00854BA3">
              <w:rPr>
                <w:rFonts w:hint="cs"/>
                <w:rtl/>
                <w:lang w:bidi="ar-SA"/>
              </w:rPr>
              <w:t>فزار تبلت انجام میگیرد.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9E6959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9E6959">
              <w:rPr>
                <w:rFonts w:hint="cs"/>
                <w:rtl/>
                <w:lang w:bidi="ar-SA"/>
              </w:rPr>
              <w:t xml:space="preserve">به طبع پیاده سازی یک ایده بصورت نرم افزار باعث جامعیت، دقت و سادگی </w:t>
            </w:r>
            <w:r w:rsidR="00545ED3">
              <w:rPr>
                <w:rFonts w:hint="cs"/>
                <w:rtl/>
                <w:lang w:bidi="ar-SA"/>
              </w:rPr>
              <w:t>امر خواهد شد. با توجه به جدا بودن فرایند تهیه ی پرسشنامه و ویزیت برای فروش اجناس باید پرسشگرهایی برای این کار استخدام شوند که به صورت تخصصی به جمع آوری اطلاعات بازار بپردازند.</w:t>
            </w:r>
            <w:r w:rsidR="00AD1A22">
              <w:rPr>
                <w:rFonts w:hint="cs"/>
                <w:rtl/>
                <w:lang w:bidi="ar-SA"/>
              </w:rPr>
              <w:t xml:space="preserve"> با این کار هزینه ای سربار علاوه بر جذب ویزیتور، برای جذب پرسشگر نیاز داریم، اما برگشت مطالعه اطلاعات جمع آوری شده از بازار بسیار قابل توجه است و می تواند راهی برای بهبود عملکردهای سازمان بر حسب بازخورد محصولات خود و یا رقبا در بازار واقعی باشد.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8878F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کنندگان و رقبای آنها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Default="00B75577" w:rsidP="00EF2B4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8878F0">
              <w:rPr>
                <w:lang w:bidi="ar-SA"/>
              </w:rPr>
              <w:t>market Census Console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</w:t>
            </w:r>
            <w:r w:rsidR="004742F0">
              <w:rPr>
                <w:rFonts w:hint="cs"/>
                <w:rtl/>
                <w:lang w:bidi="ar-SA"/>
              </w:rPr>
              <w:t>یک نرم افزار</w:t>
            </w:r>
            <w:r w:rsidR="0089395A">
              <w:rPr>
                <w:rFonts w:hint="cs"/>
                <w:rtl/>
                <w:lang w:bidi="ar-SA"/>
              </w:rPr>
              <w:t xml:space="preserve"> تحت وب با قابلیت تعریف برخی پارامترهای مورد نیاز و اخذ برخی دیگر از نرم افزار</w:t>
            </w:r>
            <w:r w:rsidR="00EF2B4D">
              <w:rPr>
                <w:rFonts w:hint="cs"/>
                <w:rtl/>
                <w:lang w:bidi="ar-SA"/>
              </w:rPr>
              <w:t xml:space="preserve"> پخش</w:t>
            </w:r>
            <w:r w:rsidR="004742F0">
              <w:rPr>
                <w:rFonts w:hint="cs"/>
                <w:rtl/>
                <w:lang w:bidi="ar-SA"/>
              </w:rPr>
              <w:t xml:space="preserve"> و همینطور امکان طراحی پرسشنامه های ساده و یا پیچیده میباشد. همچنین این نرم افزار قابلیت مسیربندی، تخصیص مشتری به مسیر و زمانبندی برنامه پرسشها میباشد.</w:t>
            </w:r>
            <w:r w:rsidR="0089395A">
              <w:rPr>
                <w:rFonts w:hint="cs"/>
                <w:rtl/>
                <w:lang w:bidi="ar-SA"/>
              </w:rPr>
              <w:t xml:space="preserve"> </w:t>
            </w:r>
            <w:r w:rsidR="008878F0">
              <w:rPr>
                <w:lang w:bidi="ar-SA"/>
              </w:rPr>
              <w:t xml:space="preserve"> 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hint="cs"/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ارتباط با نرم افزار پخش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hint="cs"/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مسیربندی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hint="cs"/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طراحی پرسشنامه و تنظیم برنامه پرسش</w:t>
            </w:r>
          </w:p>
          <w:p w:rsidR="00C034C7" w:rsidRPr="00312679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تعریف و تنظیم پارامترهای مهم</w:t>
            </w:r>
          </w:p>
          <w:p w:rsidR="000C4EC0" w:rsidRPr="00312679" w:rsidRDefault="004B7104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="00C034C7">
              <w:rPr>
                <w:rFonts w:hint="cs"/>
                <w:rtl/>
                <w:lang w:bidi="ar-SA"/>
              </w:rPr>
              <w:t xml:space="preserve"> ی تحت وب یا ویندوز.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C54DE0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 w:rsidR="00FB39FA">
        <w:rPr>
          <w:rFonts w:hint="cs"/>
          <w:sz w:val="28"/>
          <w:szCs w:val="28"/>
          <w:rtl/>
          <w:lang w:bidi="ar-SA"/>
        </w:rPr>
        <w:t>مرورگرهای خود این نرم افزار را ببیینند و با ورود به</w:t>
      </w:r>
      <w:r w:rsidR="00C54DE0">
        <w:rPr>
          <w:rFonts w:hint="cs"/>
          <w:sz w:val="28"/>
          <w:szCs w:val="28"/>
          <w:rtl/>
          <w:lang w:bidi="ar-SA"/>
        </w:rPr>
        <w:t xml:space="preserve"> </w:t>
      </w:r>
      <w:bookmarkStart w:id="54" w:name="_GoBack"/>
      <w:bookmarkEnd w:id="54"/>
      <w:r w:rsidR="00C54DE0">
        <w:rPr>
          <w:rFonts w:hint="cs"/>
          <w:sz w:val="28"/>
          <w:szCs w:val="28"/>
          <w:rtl/>
          <w:lang w:bidi="ar-SA"/>
        </w:rPr>
        <w:t>آن</w:t>
      </w:r>
      <w:r w:rsidR="00FB39FA">
        <w:rPr>
          <w:rFonts w:hint="cs"/>
          <w:sz w:val="28"/>
          <w:szCs w:val="28"/>
          <w:rtl/>
          <w:lang w:bidi="ar-SA"/>
        </w:rPr>
        <w:t xml:space="preserve"> از امکاناتش استفاده کنند.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5" w:name="_Toc388089317"/>
      <w:bookmarkStart w:id="56" w:name="_Toc391470335"/>
      <w:r>
        <w:rPr>
          <w:rFonts w:hint="cs"/>
          <w:rtl/>
        </w:rPr>
        <w:t>برخي كاربردهاي محصول</w:t>
      </w:r>
      <w:bookmarkEnd w:id="55"/>
      <w:bookmarkEnd w:id="56"/>
    </w:p>
    <w:p w:rsidR="006A230F" w:rsidRDefault="00F775CC" w:rsidP="009C4785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3440FD">
        <w:rPr>
          <w:sz w:val="28"/>
          <w:szCs w:val="28"/>
          <w:lang w:bidi="ar-SA"/>
        </w:rPr>
        <w:t>App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همگانی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 کالاهای 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>مصرف (</w:t>
      </w:r>
      <w:r w:rsidR="00FB7828">
        <w:rPr>
          <w:sz w:val="28"/>
          <w:szCs w:val="28"/>
          <w:lang w:bidi="ar-SA"/>
        </w:rPr>
        <w:t>FMCG</w:t>
      </w:r>
      <w:r w:rsidR="00FB7828">
        <w:rPr>
          <w:rFonts w:hint="cs"/>
          <w:sz w:val="28"/>
          <w:szCs w:val="28"/>
          <w:rtl/>
          <w:lang w:bidi="ar-SA"/>
        </w:rPr>
        <w:t>)</w:t>
      </w:r>
      <w:r w:rsidR="00220F0C">
        <w:rPr>
          <w:rFonts w:hint="cs"/>
          <w:sz w:val="28"/>
          <w:szCs w:val="28"/>
          <w:rtl/>
          <w:lang w:bidi="ar-SA"/>
        </w:rPr>
        <w:t xml:space="preserve"> از س</w:t>
      </w:r>
      <w:r w:rsidR="00104157">
        <w:rPr>
          <w:rFonts w:hint="cs"/>
          <w:sz w:val="28"/>
          <w:szCs w:val="28"/>
          <w:rtl/>
          <w:lang w:bidi="ar-SA"/>
        </w:rPr>
        <w:t>و</w:t>
      </w:r>
      <w:r w:rsidR="00220F0C">
        <w:rPr>
          <w:rFonts w:hint="cs"/>
          <w:sz w:val="28"/>
          <w:szCs w:val="28"/>
          <w:rtl/>
          <w:lang w:bidi="ar-SA"/>
        </w:rPr>
        <w:t>پرمارکتها و فروشگاه های زنجیره ای</w:t>
      </w:r>
      <w:r w:rsidR="00104157">
        <w:rPr>
          <w:rFonts w:hint="cs"/>
          <w:sz w:val="28"/>
          <w:szCs w:val="28"/>
          <w:rtl/>
          <w:lang w:bidi="ar-SA"/>
        </w:rPr>
        <w:t xml:space="preserve"> اطراف و البته عضو و نیز امکان تحویل </w:t>
      </w:r>
      <w:r w:rsidR="00FA19B7">
        <w:rPr>
          <w:rFonts w:hint="cs"/>
          <w:sz w:val="28"/>
          <w:szCs w:val="28"/>
          <w:rtl/>
          <w:lang w:bidi="ar-SA"/>
        </w:rPr>
        <w:t xml:space="preserve">کالا درب منزل و یا محل تعیین شده توسط مصرف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رایگان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820587">
        <w:rPr>
          <w:sz w:val="28"/>
          <w:szCs w:val="28"/>
          <w:lang w:bidi="fa-IR"/>
        </w:rPr>
        <w:t>Anatoli</w:t>
      </w:r>
      <w:proofErr w:type="spellEnd"/>
      <w:r w:rsidR="00820587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DF4DA2">
        <w:rPr>
          <w:sz w:val="28"/>
          <w:szCs w:val="28"/>
          <w:lang w:bidi="fa-IR"/>
        </w:rPr>
        <w:t>Anatoli</w:t>
      </w:r>
      <w:proofErr w:type="spellEnd"/>
      <w:r w:rsidR="00DF4DA2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proofErr w:type="spellStart"/>
      <w:r w:rsidR="00DF4DA2">
        <w:rPr>
          <w:sz w:val="28"/>
          <w:szCs w:val="28"/>
          <w:lang w:bidi="fa-IR"/>
        </w:rPr>
        <w:t>Anatoli</w:t>
      </w:r>
      <w:proofErr w:type="spellEnd"/>
      <w:r w:rsidR="00DF4DA2">
        <w:rPr>
          <w:sz w:val="28"/>
          <w:szCs w:val="28"/>
          <w:lang w:bidi="fa-IR"/>
        </w:rPr>
        <w:t xml:space="preserve">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7" w:name="_Toc20803649"/>
      <w:bookmarkStart w:id="58" w:name="_Toc20804789"/>
      <w:bookmarkStart w:id="59" w:name="_Toc62217826"/>
      <w:bookmarkStart w:id="60" w:name="_Toc92357650"/>
      <w:bookmarkStart w:id="61" w:name="_Toc193050249"/>
      <w:bookmarkStart w:id="62" w:name="_Toc388089315"/>
      <w:bookmarkStart w:id="63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proofErr w:type="spellStart"/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</w:t>
      </w:r>
      <w:proofErr w:type="spellEnd"/>
      <w:r w:rsidR="001D1FAA" w:rsidRPr="00CA0449">
        <w:rPr>
          <w:rFonts w:ascii="Cambria" w:hAnsi="Cambria"/>
          <w:b w:val="0"/>
          <w:bCs w:val="0"/>
          <w:sz w:val="28"/>
          <w:szCs w:val="28"/>
        </w:rPr>
        <w:t xml:space="preserve">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lastRenderedPageBreak/>
        <w:t xml:space="preserve">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4" w:name="_Toc225004902"/>
      <w:bookmarkStart w:id="65" w:name="_Toc193050251"/>
      <w:bookmarkStart w:id="66" w:name="_Toc388089318"/>
      <w:bookmarkStart w:id="67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4"/>
      <w:bookmarkEnd w:id="65"/>
      <w:bookmarkEnd w:id="66"/>
      <w:bookmarkEnd w:id="67"/>
    </w:p>
    <w:p w:rsidR="00A61E12" w:rsidRDefault="00A61E12" w:rsidP="004B7104">
      <w:pPr>
        <w:pStyle w:val="Heading2"/>
        <w:spacing w:after="0"/>
        <w:rPr>
          <w:rtl/>
        </w:rPr>
      </w:pPr>
      <w:bookmarkStart w:id="68" w:name="_Toc193050252"/>
      <w:bookmarkStart w:id="69" w:name="_Toc388089319"/>
      <w:bookmarkStart w:id="70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8"/>
      <w:bookmarkEnd w:id="69"/>
      <w:bookmarkEnd w:id="70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proofErr w:type="spellStart"/>
            <w:r>
              <w:rPr>
                <w:sz w:val="28"/>
                <w:szCs w:val="28"/>
                <w:lang w:bidi="fa-IR"/>
              </w:rPr>
              <w:t>Petropey</w:t>
            </w:r>
            <w:proofErr w:type="spellEnd"/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proofErr w:type="spellStart"/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proofErr w:type="spellEnd"/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1" w:name="_Toc391470339"/>
      <w:r>
        <w:rPr>
          <w:rFonts w:hint="cs"/>
          <w:rtl/>
        </w:rPr>
        <w:t>رقبا</w:t>
      </w:r>
      <w:bookmarkEnd w:id="71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2" w:name="_Toc225004906"/>
      <w:bookmarkStart w:id="73" w:name="_Toc193050255"/>
      <w:bookmarkStart w:id="74" w:name="_Toc388089323"/>
      <w:bookmarkStart w:id="75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2"/>
      <w:bookmarkEnd w:id="73"/>
      <w:bookmarkEnd w:id="74"/>
      <w:bookmarkEnd w:id="75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 xml:space="preserve">shipping </w:t>
            </w:r>
            <w:proofErr w:type="spellStart"/>
            <w:r>
              <w:rPr>
                <w:rFonts w:hint="cs"/>
                <w:color w:val="000000"/>
              </w:rPr>
              <w:t>adress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proofErr w:type="spellStart"/>
            <w:r>
              <w:rPr>
                <w:rFonts w:hint="cs"/>
                <w:color w:val="000000"/>
              </w:rPr>
              <w:t>PickUp</w:t>
            </w:r>
            <w:proofErr w:type="spellEnd"/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6" w:name="_Toc225004907"/>
      <w:bookmarkStart w:id="77" w:name="_Toc193050256"/>
      <w:bookmarkStart w:id="78" w:name="_Toc388089324"/>
      <w:bookmarkStart w:id="79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6"/>
      <w:bookmarkEnd w:id="77"/>
      <w:bookmarkEnd w:id="78"/>
      <w:bookmarkEnd w:id="79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proofErr w:type="spellStart"/>
      <w:r w:rsidR="002C0E83">
        <w:rPr>
          <w:sz w:val="28"/>
          <w:szCs w:val="28"/>
          <w:lang w:bidi="ar-SA"/>
        </w:rPr>
        <w:t>Anatoli</w:t>
      </w:r>
      <w:proofErr w:type="spellEnd"/>
      <w:r w:rsidR="002C0E83">
        <w:rPr>
          <w:sz w:val="28"/>
          <w:szCs w:val="28"/>
          <w:lang w:bidi="ar-SA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80" w:name="_Toc213040457"/>
      <w:bookmarkStart w:id="81" w:name="_Toc193050257"/>
      <w:bookmarkStart w:id="82" w:name="_Toc388089325"/>
      <w:bookmarkStart w:id="83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80"/>
      <w:bookmarkEnd w:id="81"/>
      <w:bookmarkEnd w:id="82"/>
      <w:bookmarkEnd w:id="83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</w:t>
            </w:r>
            <w:proofErr w:type="spellEnd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 xml:space="preserve">: SMS, email &amp; </w:t>
            </w: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cardfile</w:t>
            </w:r>
            <w:proofErr w:type="spellEnd"/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3E7" w:rsidRDefault="007503E7" w:rsidP="000F4D1B">
      <w:pPr>
        <w:spacing w:after="0" w:line="240" w:lineRule="auto"/>
      </w:pPr>
      <w:r>
        <w:separator/>
      </w:r>
    </w:p>
  </w:endnote>
  <w:endnote w:type="continuationSeparator" w:id="0">
    <w:p w:rsidR="007503E7" w:rsidRDefault="007503E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CD6" w:rsidRPr="00617EA3" w:rsidRDefault="00484CD6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484CD6" w:rsidTr="00D75A7B">
      <w:trPr>
        <w:trHeight w:val="440"/>
      </w:trPr>
      <w:tc>
        <w:tcPr>
          <w:tcW w:w="8306" w:type="dxa"/>
        </w:tcPr>
        <w:p w:rsidR="00484CD6" w:rsidRPr="005E155F" w:rsidRDefault="00484CD6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484CD6" w:rsidRPr="00D75A7B" w:rsidRDefault="00484CD6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54DE0" w:rsidRPr="00C54DE0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484CD6" w:rsidRPr="00617EA3" w:rsidRDefault="00484CD6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3E7" w:rsidRDefault="007503E7" w:rsidP="000F4D1B">
      <w:pPr>
        <w:spacing w:after="0" w:line="240" w:lineRule="auto"/>
      </w:pPr>
      <w:r>
        <w:separator/>
      </w:r>
    </w:p>
  </w:footnote>
  <w:footnote w:type="continuationSeparator" w:id="0">
    <w:p w:rsidR="007503E7" w:rsidRDefault="007503E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484CD6" w:rsidTr="00ED579C">
      <w:trPr>
        <w:jc w:val="center"/>
      </w:trPr>
      <w:tc>
        <w:tcPr>
          <w:tcW w:w="5528" w:type="dxa"/>
          <w:shd w:val="clear" w:color="auto" w:fill="auto"/>
        </w:tcPr>
        <w:p w:rsidR="00484CD6" w:rsidRPr="0041289D" w:rsidRDefault="00484CD6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484CD6" w:rsidRPr="006B1386" w:rsidRDefault="00357D27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Market Census Console</w:t>
          </w:r>
        </w:p>
      </w:tc>
    </w:tr>
    <w:tr w:rsidR="00484CD6" w:rsidTr="00ED579C">
      <w:trPr>
        <w:jc w:val="center"/>
      </w:trPr>
      <w:tc>
        <w:tcPr>
          <w:tcW w:w="5528" w:type="dxa"/>
          <w:shd w:val="clear" w:color="auto" w:fill="auto"/>
        </w:tcPr>
        <w:p w:rsidR="00484CD6" w:rsidRPr="0041289D" w:rsidRDefault="00484CD6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484CD6" w:rsidRPr="005E65FF" w:rsidRDefault="00484CD6" w:rsidP="00357D27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 w:rsidR="00357D27">
            <w:rPr>
              <w:rFonts w:asciiTheme="majorBidi" w:hAnsiTheme="majorBidi" w:cstheme="majorBidi"/>
              <w:color w:val="C0504D"/>
              <w:lang w:bidi="fa-IR"/>
            </w:rPr>
            <w:t>MCC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484CD6" w:rsidRDefault="00484CD6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0A9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ADC"/>
    <w:rsid w:val="001F54F2"/>
    <w:rsid w:val="001F5E9B"/>
    <w:rsid w:val="001F6474"/>
    <w:rsid w:val="001F7118"/>
    <w:rsid w:val="00200118"/>
    <w:rsid w:val="0020052F"/>
    <w:rsid w:val="002009FE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7D27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5F1E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2F0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CD6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5ED3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6F7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1B4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560E8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9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3E7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1B4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BA3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878F0"/>
    <w:rsid w:val="0089110E"/>
    <w:rsid w:val="008914E4"/>
    <w:rsid w:val="00893025"/>
    <w:rsid w:val="008937FD"/>
    <w:rsid w:val="0089386A"/>
    <w:rsid w:val="0089395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6959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7E8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736"/>
    <w:rsid w:val="00A768A4"/>
    <w:rsid w:val="00A7789F"/>
    <w:rsid w:val="00A77B9A"/>
    <w:rsid w:val="00A803B0"/>
    <w:rsid w:val="00A81BA4"/>
    <w:rsid w:val="00A900EB"/>
    <w:rsid w:val="00A9025D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1A22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4C7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4DE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4E24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1A28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1F7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24AD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B4D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2F7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39FA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D3D8A5-666F-460A-8DB8-3AFD2CA4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13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Market Census Console</dc:subject>
  <dc:creator>مريم شاكري</dc:creator>
  <cp:keywords>1.0</cp:keywords>
  <cp:lastModifiedBy>Maryam Shakeri</cp:lastModifiedBy>
  <cp:revision>327</cp:revision>
  <cp:lastPrinted>2014-07-07T10:39:00Z</cp:lastPrinted>
  <dcterms:created xsi:type="dcterms:W3CDTF">2014-07-13T08:02:00Z</dcterms:created>
  <dcterms:modified xsi:type="dcterms:W3CDTF">2016-04-18T12:53:00Z</dcterms:modified>
</cp:coreProperties>
</file>