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FE86C" w14:textId="15211F0F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t>1. A deriválhatóság ekvivalens átfogalmazása lineáris közelítéssel</w:t>
      </w:r>
      <w:r w:rsidRPr="00766FCD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14EB36FC" wp14:editId="72595CFB">
            <wp:extent cx="5760720" cy="4291330"/>
            <wp:effectExtent l="0" t="0" r="0" b="0"/>
            <wp:docPr id="868292996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2996" name="Kép 1" descr="A képen szöveg, képernyőkép, Betűtípus, dokumentum látható&#10;&#10;Automatikusan generált leírás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"/>
                    <a:stretch/>
                  </pic:blipFill>
                  <pic:spPr bwMode="auto">
                    <a:xfrm>
                      <a:off x="0" y="0"/>
                      <a:ext cx="5760720" cy="429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42099" w14:textId="0922B54C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2. A szorzatfüggvény deriválása</w:t>
      </w:r>
      <w:r w:rsidR="00766FCD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22B7F957" wp14:editId="602F2DB9">
            <wp:extent cx="5754370" cy="4620260"/>
            <wp:effectExtent l="0" t="0" r="0" b="8890"/>
            <wp:docPr id="171310348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4B40" w14:textId="589274F1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3. A hányadosfüggvény deriválása</w:t>
      </w:r>
      <w:r w:rsidR="003A2632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6ACFA255" wp14:editId="339F2419">
            <wp:extent cx="5753100" cy="4610100"/>
            <wp:effectExtent l="0" t="0" r="0" b="0"/>
            <wp:docPr id="1828060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9C88" w14:textId="2AF5674A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4. A lokális szélsőértékre vonatkozó elsőrendű szükséges feltétel</w:t>
      </w:r>
      <w:r w:rsidR="009320FA" w:rsidRPr="009320FA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23885A60" wp14:editId="65679573">
            <wp:extent cx="5760720" cy="4410075"/>
            <wp:effectExtent l="0" t="0" r="0" b="9525"/>
            <wp:docPr id="1424997332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7332" name="Kép 1" descr="A képen szöveg, képernyőkép, Betűtípus, dokumentum látható&#10;&#10;Automatikusan generált leírás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"/>
                    <a:stretch/>
                  </pic:blipFill>
                  <pic:spPr bwMode="auto">
                    <a:xfrm>
                      <a:off x="0" y="0"/>
                      <a:ext cx="576072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3F5C9" w14:textId="66399BE3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t>5. A Rolle-féle középértéktétel</w:t>
      </w:r>
      <w:r w:rsidR="009320FA" w:rsidRPr="009320FA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4B1E4CA0" wp14:editId="2F4B284C">
            <wp:extent cx="5760720" cy="3174365"/>
            <wp:effectExtent l="0" t="0" r="0" b="6985"/>
            <wp:docPr id="1969849796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9796" name="Kép 1" descr="A képen szöveg, képernyőkép, Betűtípus, szám látható&#10;&#10;Automatikusan generált leírás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8"/>
                    <a:stretch/>
                  </pic:blipFill>
                  <pic:spPr bwMode="auto"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8D48B" w14:textId="7B8AD4B5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6. A Cauchy-féle középértéktétel</w:t>
      </w:r>
      <w:r w:rsidR="003A2632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0311F6DA" wp14:editId="4DFE6615">
            <wp:extent cx="5760720" cy="4279265"/>
            <wp:effectExtent l="0" t="0" r="0" b="6985"/>
            <wp:docPr id="46127590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2910" w14:textId="2C1E0E1F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7. Nyílt intervallumon értelmezett deriválható függvények esetében a</w:t>
      </w:r>
      <w:r w:rsidR="008218B9">
        <w:rPr>
          <w:b/>
          <w:bCs/>
          <w:color w:val="3333B2"/>
          <w:sz w:val="28"/>
          <w:szCs w:val="28"/>
          <w:lang w:val="hu-HU"/>
        </w:rPr>
        <w:t xml:space="preserve"> </w:t>
      </w:r>
      <w:r w:rsidRPr="00766FCD">
        <w:rPr>
          <w:b/>
          <w:bCs/>
          <w:color w:val="3333B2"/>
          <w:sz w:val="28"/>
          <w:szCs w:val="28"/>
          <w:lang w:val="hu-HU"/>
        </w:rPr>
        <w:t>monotonitás és a derivált kapcsolata</w:t>
      </w:r>
      <w:r w:rsidR="003A2632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715F10D5" wp14:editId="18108D03">
            <wp:extent cx="5760720" cy="4336415"/>
            <wp:effectExtent l="0" t="0" r="0" b="6985"/>
            <wp:docPr id="208180428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F7EA" w14:textId="305E7DFF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t>8. A lokális szélsőértékre vonatkozó elsőrendű elégséges feltétel</w:t>
      </w:r>
      <w:r w:rsidR="00182676" w:rsidRPr="00182676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34147030" wp14:editId="01E8CF1E">
            <wp:extent cx="5760720" cy="2484120"/>
            <wp:effectExtent l="0" t="0" r="0" b="0"/>
            <wp:docPr id="172324305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3058" name="Kép 1" descr="A képen szöveg, képernyőkép, Betűtípus, szám látható&#10;&#10;Automatikusan generált leírás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"/>
                    <a:stretch/>
                  </pic:blipFill>
                  <pic:spPr bwMode="auto"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CD98D" w14:textId="5382B67C" w:rsidR="001F75C0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9. A konvexitás jellemzése a deriváltfüggvénnyel</w:t>
      </w:r>
      <w:r w:rsidR="00182676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56DC2DB2" wp14:editId="70652AC2">
            <wp:extent cx="5748655" cy="6766560"/>
            <wp:effectExtent l="0" t="0" r="4445" b="0"/>
            <wp:docPr id="55928102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41AF" w14:textId="229FC983" w:rsidR="001F75C0" w:rsidRPr="00766FCD" w:rsidRDefault="001F75C0" w:rsidP="00182676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10. A véges pontbeli 0</w:t>
      </w:r>
      <w:r w:rsidR="00182676">
        <w:rPr>
          <w:b/>
          <w:bCs/>
          <w:color w:val="3333B2"/>
          <w:sz w:val="28"/>
          <w:szCs w:val="28"/>
          <w:lang w:val="hu-HU"/>
        </w:rPr>
        <w:t xml:space="preserve">/0 </w:t>
      </w:r>
      <w:r w:rsidRPr="00766FCD">
        <w:rPr>
          <w:b/>
          <w:bCs/>
          <w:color w:val="3333B2"/>
          <w:sz w:val="28"/>
          <w:szCs w:val="28"/>
          <w:lang w:val="hu-HU"/>
        </w:rPr>
        <w:t>határérték esetre vonatkozó L’Hospital-szabály</w:t>
      </w:r>
      <w:r w:rsidR="00C174B1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33C7DD10" wp14:editId="70BB380F">
            <wp:extent cx="5348605" cy="8563610"/>
            <wp:effectExtent l="0" t="0" r="4445" b="8890"/>
            <wp:docPr id="185459353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4"/>
                    <a:stretch/>
                  </pic:blipFill>
                  <pic:spPr bwMode="auto">
                    <a:xfrm>
                      <a:off x="0" y="0"/>
                      <a:ext cx="5348605" cy="856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8BBBD" w14:textId="3565F8C5" w:rsidR="008D5434" w:rsidRPr="00766FCD" w:rsidRDefault="001F75C0" w:rsidP="001F75C0">
      <w:pPr>
        <w:rPr>
          <w:b/>
          <w:bCs/>
          <w:color w:val="3333B2"/>
          <w:sz w:val="28"/>
          <w:szCs w:val="28"/>
          <w:lang w:val="hu-HU"/>
        </w:rPr>
      </w:pPr>
      <w:r w:rsidRPr="00766FCD">
        <w:rPr>
          <w:b/>
          <w:bCs/>
          <w:color w:val="3333B2"/>
          <w:sz w:val="28"/>
          <w:szCs w:val="28"/>
          <w:lang w:val="hu-HU"/>
        </w:rPr>
        <w:lastRenderedPageBreak/>
        <w:t>11. A Taylor-formula a Lagrange-féle maradéktaggal</w:t>
      </w:r>
      <w:r w:rsidR="00C174B1">
        <w:rPr>
          <w:b/>
          <w:bCs/>
          <w:noProof/>
          <w:color w:val="3333B2"/>
          <w:sz w:val="28"/>
          <w:szCs w:val="28"/>
          <w:lang w:val="hu-HU"/>
        </w:rPr>
        <w:drawing>
          <wp:inline distT="0" distB="0" distL="0" distR="0" wp14:anchorId="0C8DFF7B" wp14:editId="39644B16">
            <wp:extent cx="5751830" cy="8630285"/>
            <wp:effectExtent l="0" t="0" r="1270" b="0"/>
            <wp:docPr id="62311900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863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434" w:rsidRPr="00766FCD" w:rsidSect="00D07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C0"/>
    <w:rsid w:val="0011326F"/>
    <w:rsid w:val="00127494"/>
    <w:rsid w:val="0017373C"/>
    <w:rsid w:val="00182676"/>
    <w:rsid w:val="001F75C0"/>
    <w:rsid w:val="003A2632"/>
    <w:rsid w:val="004D14E7"/>
    <w:rsid w:val="00766FCD"/>
    <w:rsid w:val="008218B9"/>
    <w:rsid w:val="008D11A1"/>
    <w:rsid w:val="008D5434"/>
    <w:rsid w:val="009320FA"/>
    <w:rsid w:val="00B0052E"/>
    <w:rsid w:val="00C174B1"/>
    <w:rsid w:val="00D07C9B"/>
    <w:rsid w:val="00DA5DC2"/>
    <w:rsid w:val="00E15737"/>
    <w:rsid w:val="00E7226E"/>
    <w:rsid w:val="00F02F5A"/>
    <w:rsid w:val="00F6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A318"/>
  <w15:chartTrackingRefBased/>
  <w15:docId w15:val="{498C82EA-14BF-478B-9EE6-D85E2276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75C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75C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75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75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75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75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75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75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75C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75C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78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Trefiman</dc:creator>
  <cp:keywords/>
  <dc:description/>
  <cp:lastModifiedBy>Trefiman Viktor Ádám</cp:lastModifiedBy>
  <cp:revision>5</cp:revision>
  <dcterms:created xsi:type="dcterms:W3CDTF">2024-03-27T15:04:00Z</dcterms:created>
  <dcterms:modified xsi:type="dcterms:W3CDTF">2024-04-02T22:36:00Z</dcterms:modified>
</cp:coreProperties>
</file>