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AUDIT COMPLIANCE REPORT</w:t>
      </w:r>
    </w:p>
    <w:p>
      <w:pPr>
        <w:jc w:val="center"/>
      </w:pPr>
      <w:r>
        <w:rPr>
          <w:rFonts w:ascii="Arial" w:hAnsi="Arial"/>
          <w:sz w:val="28"/>
        </w:rPr>
        <w:t>Audit ID: 1271</w:t>
      </w:r>
    </w:p>
    <w:p>
      <w:pPr>
        <w:jc w:val="center"/>
      </w:pPr>
      <w:r>
        <w:rPr>
          <w:rFonts w:ascii="Arial" w:hAnsi="Arial"/>
          <w:sz w:val="24"/>
        </w:rPr>
        <w:t>Report Generated: November 20, 2025</w:t>
      </w:r>
    </w:p>
    <w:p>
      <w:r>
        <w:br w:type="page"/>
      </w:r>
    </w:p>
    <w:p>
      <w:pPr>
        <w:pStyle w:val="Heading1"/>
      </w:pPr>
      <w:r>
        <w:t>EXECUTIVE SUMMARY</w:t>
      </w:r>
    </w:p>
    <w:p>
      <w:r>
        <w:t>This audit compliance report provides a comprehensive assessment of the organization's adherence to established policies, procedures, and regulatory requirements. The audit was conducted to evaluate compliance status, identify gaps, and provide recommendations for improvement.</w:t>
      </w:r>
    </w:p>
    <w:p>
      <w:pPr>
        <w:pStyle w:val="Heading2"/>
      </w:pPr>
      <w:r>
        <w:t>AUDIT OVERVIEW</w:t>
      </w:r>
    </w:p>
    <w:tbl>
      <w:tblPr>
        <w:tblStyle w:val="TableGrid"/>
        <w:tblW w:type="auto" w:w="0"/>
        <w:tblLayout w:type="fixed"/>
        <w:tblLook w:firstColumn="1" w:firstRow="1" w:lastColumn="0" w:lastRow="0" w:noHBand="0" w:noVBand="1" w:val="04A0"/>
      </w:tblPr>
      <w:tblGrid>
        <w:gridCol w:w="2880"/>
        <w:gridCol w:w="5760"/>
      </w:tblGrid>
      <w:tr>
        <w:tc>
          <w:tcPr>
            <w:tcW w:type="dxa" w:w="2880"/>
          </w:tcPr>
          <w:p>
            <w:r>
              <w:rPr>
                <w:b/>
              </w:rPr>
              <w:t>Audit ID</w:t>
            </w:r>
          </w:p>
        </w:tc>
        <w:tc>
          <w:tcPr>
            <w:tcW w:type="dxa" w:w="5760"/>
          </w:tcPr>
          <w:p>
            <w:r>
              <w:t>1271</w:t>
            </w:r>
          </w:p>
        </w:tc>
      </w:tr>
      <w:tr>
        <w:tc>
          <w:tcPr>
            <w:tcW w:type="dxa" w:w="2880"/>
          </w:tcPr>
          <w:p>
            <w:r>
              <w:rPr>
                <w:b/>
              </w:rPr>
              <w:t>Framework</w:t>
            </w:r>
          </w:p>
        </w:tc>
        <w:tc>
          <w:tcPr>
            <w:tcW w:type="dxa" w:w="5760"/>
          </w:tcPr>
          <w:p>
            <w:r>
              <w:t>Anti-Money Laundering (AML) Regulations</w:t>
            </w:r>
          </w:p>
        </w:tc>
      </w:tr>
      <w:tr>
        <w:tc>
          <w:tcPr>
            <w:tcW w:type="dxa" w:w="2880"/>
          </w:tcPr>
          <w:p>
            <w:r>
              <w:rPr>
                <w:b/>
              </w:rPr>
              <w:t>Policy</w:t>
            </w:r>
          </w:p>
        </w:tc>
        <w:tc>
          <w:tcPr>
            <w:tcW w:type="dxa" w:w="5760"/>
          </w:tcPr>
          <w:p>
            <w:r>
              <w:t>Enhanced Due Diligence for High-Risk Customers</w:t>
            </w:r>
          </w:p>
        </w:tc>
      </w:tr>
      <w:tr>
        <w:tc>
          <w:tcPr>
            <w:tcW w:type="dxa" w:w="2880"/>
          </w:tcPr>
          <w:p>
            <w:r>
              <w:rPr>
                <w:b/>
              </w:rPr>
              <w:t>Sub-Policy</w:t>
            </w:r>
          </w:p>
        </w:tc>
        <w:tc>
          <w:tcPr>
            <w:tcW w:type="dxa" w:w="5760"/>
          </w:tcPr>
          <w:p>
            <w:r>
              <w:t>Documentation Verification and Customer Assessment</w:t>
            </w:r>
          </w:p>
        </w:tc>
      </w:tr>
      <w:tr>
        <w:tc>
          <w:tcPr>
            <w:tcW w:type="dxa" w:w="2880"/>
          </w:tcPr>
          <w:p>
            <w:r>
              <w:rPr>
                <w:b/>
              </w:rPr>
              <w:t>Completion Date</w:t>
            </w:r>
          </w:p>
        </w:tc>
        <w:tc>
          <w:tcPr>
            <w:tcW w:type="dxa" w:w="5760"/>
          </w:tcPr>
          <w:p>
            <w:r>
              <w:t>November 17, 2025</w:t>
            </w:r>
          </w:p>
        </w:tc>
      </w:tr>
      <w:tr>
        <w:tc>
          <w:tcPr>
            <w:tcW w:type="dxa" w:w="2880"/>
          </w:tcPr>
          <w:p>
            <w:r>
              <w:rPr>
                <w:b/>
              </w:rPr>
              <w:t>Review Date</w:t>
            </w:r>
          </w:p>
        </w:tc>
        <w:tc>
          <w:tcPr>
            <w:tcW w:type="dxa" w:w="5760"/>
          </w:tcPr>
          <w:p>
            <w:r>
              <w:t>November 17, 2025</w:t>
            </w:r>
          </w:p>
        </w:tc>
      </w:tr>
      <w:tr>
        <w:tc>
          <w:tcPr>
            <w:tcW w:type="dxa" w:w="2880"/>
          </w:tcPr>
          <w:p>
            <w:r>
              <w:rPr>
                <w:b/>
              </w:rPr>
              <w:t>Total Findings</w:t>
            </w:r>
          </w:p>
        </w:tc>
        <w:tc>
          <w:tcPr>
            <w:tcW w:type="dxa" w:w="5760"/>
          </w:tcPr>
          <w:p>
            <w:r>
              <w:t>1</w:t>
            </w:r>
          </w:p>
        </w:tc>
      </w:tr>
    </w:tbl>
    <w:p/>
    <w:p>
      <w:pPr>
        <w:pStyle w:val="Heading2"/>
      </w:pPr>
      <w:r>
        <w:t>AUDIT SCOPE</w:t>
      </w:r>
    </w:p>
    <w:p>
      <w:r>
        <w:t>The audit will assess compliance with Enhanced Due Diligence policies for high-risk customers, focusing on the verification of identity documents and proof of address during onboarding and annually thereafter.</w:t>
      </w:r>
    </w:p>
    <w:p>
      <w:pPr>
        <w:pStyle w:val="Heading2"/>
      </w:pPr>
      <w:r>
        <w:t>AUDIT OBJECTIVES</w:t>
      </w:r>
    </w:p>
    <w:p>
      <w:r>
        <w:t xml:space="preserve">The audit aims to verify that the financial institution effectively implements Enhanced Due Diligence procedures for high-risk customers by assessing the accuracy and completeness of customer documentation. It will confirm compliance with regulatory </w:t>
      </w:r>
    </w:p>
    <w:p>
      <w:r>
        <w:br w:type="page"/>
      </w:r>
    </w:p>
    <w:p>
      <w:pPr>
        <w:pStyle w:val="Heading1"/>
      </w:pPr>
      <w:r>
        <w:t>DETAILED FINDINGS</w:t>
      </w:r>
    </w:p>
    <w:p>
      <w:pPr>
        <w:pStyle w:val="Heading2"/>
      </w:pPr>
      <w:r>
        <w:t>MINOR FINDINGS</w:t>
      </w:r>
    </w:p>
    <w:p>
      <w:r>
        <w:t>Minor findings represent areas for improvement that should be addressed as resources permit.</w:t>
      </w:r>
    </w:p>
    <w:p>
      <w:pPr>
        <w:pStyle w:val="Heading3"/>
      </w:pPr>
      <w:r>
        <w:t>Finding 1: Customer Documentation Verification</w:t>
      </w:r>
    </w:p>
    <w:p>
      <w:r>
        <w:rPr>
          <w:b/>
        </w:rPr>
        <w:t xml:space="preserve">Finding Details: </w:t>
      </w:r>
      <w:r>
        <w:t>Compliance with Customer Documentation Verification has been verified. All required documentation and controls have been examined and found to be in compliance with Enhanced Due Diligence for High-Risk Customers requirements.</w:t>
      </w:r>
    </w:p>
    <w:p>
      <w:r>
        <w:rPr>
          <w:b/>
        </w:rPr>
        <w:t xml:space="preserve">Recommendation: </w:t>
      </w:r>
      <w:r>
        <w:t>No recommendation provided</w:t>
      </w:r>
    </w:p>
    <w:p/>
    <w:p>
      <w:r>
        <w:br w:type="page"/>
      </w:r>
    </w:p>
    <w:p>
      <w:pPr>
        <w:pStyle w:val="Heading1"/>
      </w:pPr>
      <w:r>
        <w:t>COMPLIANCE SUMMARY</w:t>
      </w:r>
    </w:p>
    <w:p>
      <w:pPr>
        <w:pStyle w:val="Heading2"/>
      </w:pPr>
      <w:r>
        <w:t>Compliance Statistics</w:t>
      </w:r>
    </w:p>
    <w:tbl>
      <w:tblPr>
        <w:tblStyle w:val="TableGrid"/>
        <w:tblW w:type="auto" w:w="0"/>
        <w:tblLayout w:type="fixed"/>
        <w:tblLook w:firstColumn="1" w:firstRow="1" w:lastColumn="0" w:lastRow="0" w:noHBand="0" w:noVBand="1" w:val="04A0"/>
      </w:tblPr>
      <w:tblGrid>
        <w:gridCol w:w="3600"/>
        <w:gridCol w:w="5040"/>
      </w:tblGrid>
      <w:tr>
        <w:tc>
          <w:tcPr>
            <w:tcW w:type="dxa" w:w="3600"/>
          </w:tcPr>
          <w:p>
            <w:r>
              <w:rPr>
                <w:b/>
              </w:rPr>
              <w:t>Total Items Audited</w:t>
            </w:r>
          </w:p>
        </w:tc>
        <w:tc>
          <w:tcPr>
            <w:tcW w:type="dxa" w:w="5040"/>
          </w:tcPr>
          <w:p>
            <w:r>
              <w:t>1</w:t>
            </w:r>
          </w:p>
        </w:tc>
      </w:tr>
      <w:tr>
        <w:tc>
          <w:tcPr>
            <w:tcW w:type="dxa" w:w="3600"/>
          </w:tcPr>
          <w:p>
            <w:r>
              <w:rPr>
                <w:b/>
              </w:rPr>
              <w:t>Compliant Items</w:t>
            </w:r>
          </w:p>
        </w:tc>
        <w:tc>
          <w:tcPr>
            <w:tcW w:type="dxa" w:w="5040"/>
          </w:tcPr>
          <w:p>
            <w:r>
              <w:t>1</w:t>
            </w:r>
          </w:p>
        </w:tc>
      </w:tr>
      <w:tr>
        <w:tc>
          <w:tcPr>
            <w:tcW w:type="dxa" w:w="3600"/>
          </w:tcPr>
          <w:p>
            <w:r>
              <w:rPr>
                <w:b/>
              </w:rPr>
              <w:t>Partially Compliant Items</w:t>
            </w:r>
          </w:p>
        </w:tc>
        <w:tc>
          <w:tcPr>
            <w:tcW w:type="dxa" w:w="5040"/>
          </w:tcPr>
          <w:p>
            <w:r>
              <w:t>0</w:t>
            </w:r>
          </w:p>
        </w:tc>
      </w:tr>
      <w:tr>
        <w:tc>
          <w:tcPr>
            <w:tcW w:type="dxa" w:w="3600"/>
          </w:tcPr>
          <w:p>
            <w:r>
              <w:rPr>
                <w:b/>
              </w:rPr>
              <w:t>Non-Compliant Items</w:t>
            </w:r>
          </w:p>
        </w:tc>
        <w:tc>
          <w:tcPr>
            <w:tcW w:type="dxa" w:w="5040"/>
          </w:tcPr>
          <w:p>
            <w:r>
              <w:t>0</w:t>
            </w:r>
          </w:p>
        </w:tc>
      </w:tr>
      <w:tr>
        <w:tc>
          <w:tcPr>
            <w:tcW w:type="dxa" w:w="3600"/>
          </w:tcPr>
          <w:p>
            <w:r>
              <w:rPr>
                <w:b/>
              </w:rPr>
              <w:t>Overall Compliance Rate</w:t>
            </w:r>
          </w:p>
        </w:tc>
        <w:tc>
          <w:tcPr>
            <w:tcW w:type="dxa" w:w="5040"/>
          </w:tcPr>
          <w:p>
            <w:r>
              <w:t>100.0%</w:t>
            </w:r>
          </w:p>
        </w:tc>
      </w:tr>
    </w:tbl>
    <w:p/>
    <w:p>
      <w:pPr>
        <w:pStyle w:val="Heading1"/>
      </w:pPr>
      <w:r>
        <w:t>RECOMMENDATIONS</w:t>
      </w:r>
    </w:p>
    <w:p>
      <w:r>
        <w:t>Based on the audit findings, the following recommendations are provided to improve compliance and strengthen the organization's control environment:</w:t>
      </w:r>
    </w:p>
    <w:p/>
    <w:p>
      <w:pPr>
        <w:pStyle w:val="Heading2"/>
      </w:pPr>
      <w:r>
        <w:t>Priority 3 - Minor Findings</w:t>
      </w:r>
    </w:p>
    <w:p>
      <w:r>
        <w:t>Address minor findings as resources permit to enhance overall compliance.</w:t>
      </w:r>
    </w:p>
    <w:p>
      <w:r>
        <w:br w:type="page"/>
      </w:r>
    </w:p>
    <w:p>
      <w:pPr>
        <w:pStyle w:val="Heading1"/>
      </w:pPr>
      <w:r>
        <w:t>CONCLUSION</w:t>
      </w:r>
    </w:p>
    <w:p>
      <w:r>
        <w:t xml:space="preserve">This audit has identified areas of strength and opportunities for improvement in the organization's compliance program. </w:t>
      </w:r>
      <w:r>
        <w:t>Overall, the organization demonstrates a strong commitment to compliance with most requirements being met.</w:t>
      </w:r>
      <w:r>
        <w:t xml:space="preserve"> Implementation of the recommendations provided in this report will strengthen the control environment and improve overall compliance posture.</w:t>
      </w:r>
    </w:p>
    <w:p>
      <w:r>
        <w:br w:type="page"/>
      </w:r>
    </w:p>
    <w:p>
      <w:pPr>
        <w:pStyle w:val="Heading1"/>
      </w:pPr>
      <w:r>
        <w:t>APPENDICES</w:t>
      </w:r>
    </w:p>
    <w:p>
      <w:pPr>
        <w:pStyle w:val="Heading2"/>
      </w:pPr>
      <w:r>
        <w:t>Audit Evidence</w:t>
      </w:r>
    </w:p>
    <w:p>
      <w:r>
        <w:t>During the compliance audit of the Enhanced Due Diligence for High-Risk Customers policy, the audit team reviewed a sample of customer files to verify adherence to documentation verification requirements. Evidence included a review of identity documents such as government-issued photo IDs (e.g., passports and driver's licenses) and proof of address documents (e.g., utility bills and bank statements) for 25 high-risk customers onboarded in the last year. The audit also assessed the institution's customer onboarding process, including the use of a standardized checklist to ensure all required documents were collected and verified. Additionally, the team examined the annual review process, confirming that follow-up documentation was requested and obtained for 10 customers, with records of verification maintained in the customer relationship management system. All</w:t>
      </w:r>
    </w:p>
    <w:p>
      <w:pPr>
        <w:pStyle w:val="Heading2"/>
      </w:pPr>
      <w:r>
        <w:t>Overall Audit Comments</w:t>
      </w:r>
    </w:p>
    <w:p>
      <w:r>
        <w:t>The audit of the Enhanced Due Diligence for High-Risk Customers policy confirmed that the financial institution effectively verifies customer documentation during onboarding and conducts annual reviews as required. The verification process was found to be thorough, with identity documents and proof of address consistently validated against reliable sources. Overall, the institution demonstrated strong compliance with the established requirements, achieving a satisfactory assessment with no significant findings.</w:t>
      </w:r>
    </w:p>
    <w:p>
      <w:pPr>
        <w:pStyle w:val="Heading2"/>
      </w:pPr>
      <w:r>
        <w:t>Overall Review Comments</w:t>
      </w:r>
    </w:p>
    <w:p>
      <w:r>
        <w:t>AI-generated audit data - Compliance verified and approved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