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Audit Report - ID: 27</w:t>
      </w:r>
    </w:p>
    <w:p>
      <w:r>
        <w:t>Report generated on: 2025-05-29 18:22:13</w:t>
      </w:r>
    </w:p>
    <w:p>
      <w:pPr>
        <w:pStyle w:val="Heading1"/>
      </w:pPr>
      <w:r>
        <w:t>Audit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Audit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  <w:tr>
        <w:tc>
          <w:tcPr>
            <w:tcW w:type="dxa" w:w="4320"/>
          </w:tcPr>
          <w:p>
            <w:r>
              <w:t>Due Date</w:t>
            </w:r>
          </w:p>
        </w:tc>
        <w:tc>
          <w:tcPr>
            <w:tcW w:type="dxa" w:w="4320"/>
          </w:tcPr>
          <w:p>
            <w:r>
              <w:t>2025-06-19</w:t>
            </w:r>
          </w:p>
        </w:tc>
      </w:tr>
      <w:tr>
        <w:tc>
          <w:tcPr>
            <w:tcW w:type="dxa" w:w="4320"/>
          </w:tcPr>
          <w:p>
            <w:r>
              <w:t>Review 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Audit Findings</w:t>
      </w:r>
    </w:p>
    <w:p>
      <w:pPr>
        <w:pStyle w:val="Heading2"/>
      </w:pPr>
      <w:r>
        <w:t>Finding 1: Passwords must follow complexity rules to prevent unauthorized access.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Passwords must follow complexity rules to prevent unauthorized access.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goooooooooooooooood vardaaaamnnn</w:t>
              <w:br/>
              <w:br/>
              <w:br/>
              <w:br/>
              <w:br/>
              <w:br/>
              <w:br/>
              <w:br/>
              <w:br/>
              <w:br/>
              <w:t>data sciences Pvt ltd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asxasx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>hhhhhhhhhhhhhhhhhhh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asxd</w:t>
            </w:r>
          </w:p>
        </w:tc>
      </w:tr>
    </w:tbl>
    <w:p/>
    <w:p>
      <w:pPr>
        <w:pStyle w:val="Heading2"/>
      </w:pPr>
      <w:r>
        <w:t>Finding 2: User access rights must be reviewed quarterly to ensure correctness.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User access rights must be reviewed quarterly to ensure correctness.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fvgbhnmj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AXSCAS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 xml:space="preserve">fxdcgvbn 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ASZXAS</w:t>
            </w:r>
          </w:p>
        </w:tc>
      </w:tr>
    </w:tbl>
    <w:p/>
    <w:p>
      <w:pPr>
        <w:pStyle w:val="Heading2"/>
      </w:pPr>
      <w:r>
        <w:t>Finding 3: aDSfgh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Type of Finding</w:t>
            </w:r>
          </w:p>
        </w:tc>
        <w:tc>
          <w:tcPr>
            <w:tcW w:type="dxa" w:w="648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Finding ID</w:t>
            </w:r>
          </w:p>
        </w:tc>
        <w:tc>
          <w:tcPr>
            <w:tcW w:type="dxa" w:w="648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Date and Time</w:t>
            </w:r>
          </w:p>
        </w:tc>
        <w:tc>
          <w:tcPr>
            <w:tcW w:type="dxa" w:w="6480"/>
          </w:tcPr>
          <w:p>
            <w:r>
              <w:t>2025-05-27 13:25</w:t>
            </w:r>
          </w:p>
        </w:tc>
      </w:tr>
      <w:tr>
        <w:tc>
          <w:tcPr>
            <w:tcW w:type="dxa" w:w="2160"/>
          </w:tcPr>
          <w:p>
            <w:r>
              <w:t>Compliance Item</w:t>
            </w:r>
          </w:p>
        </w:tc>
        <w:tc>
          <w:tcPr>
            <w:tcW w:type="dxa" w:w="6480"/>
          </w:tcPr>
          <w:p>
            <w:r>
              <w:t>aDSfgh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xdcfgvbhsdxfcvg</w:t>
            </w:r>
          </w:p>
        </w:tc>
      </w:tr>
      <w:tr>
        <w:tc>
          <w:tcPr>
            <w:tcW w:type="dxa" w:w="2160"/>
          </w:tcPr>
          <w:p>
            <w:r>
              <w:t>Proof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 xml:space="preserve">muni modifies 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>dfghj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qwertyuj</w:t>
            </w:r>
          </w:p>
        </w:tc>
      </w:tr>
    </w:tbl>
    <w:p>
      <w:pPr>
        <w:pStyle w:val="Heading1"/>
      </w:pPr>
      <w:r>
        <w:t>Summary</w:t>
      </w:r>
    </w:p>
    <w:p>
      <w:r>
        <w:br/>
        <w:t xml:space="preserve">            This report contains details for 3 findings from audit #27.</w:t>
        <w:br/>
        <w:t xml:space="preserve">            Report generated on: 2025-05-29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