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2800" w:after="80"/>
      </w:pPr>
      <w:r>
        <w:rPr>
          <w:rFonts w:ascii="Calibri" w:hAnsi="Calibri"/>
          <w:b/>
          <w:color w:val="3B82D4"/>
          <w:sz w:val="56"/>
        </w:rPr>
        <w:t>TELCO CUSTOMER CHURN</w:t>
      </w:r>
    </w:p>
    <w:p>
      <w:pPr>
        <w:jc w:val="center"/>
        <w:spacing w:before="0" w:after="40"/>
      </w:pPr>
      <w:r>
        <w:rPr>
          <w:rFonts w:ascii="Calibri" w:hAnsi="Calibri"/>
          <w:b/>
          <w:color w:val="1F2328"/>
          <w:sz w:val="32"/>
        </w:rPr>
        <w:t>Analytics &amp; Machine Learning Project Report</w:t>
      </w:r>
    </w:p>
    <w:p>
      <w:pPr>
        <w:jc w:val="center"/>
        <w:spacing w:before="0" w:after="40"/>
      </w:pPr>
      <w:r>
        <w:rPr>
          <w:rFonts w:ascii="Calibri" w:hAnsi="Calibri"/>
          <w:b w:val="0"/>
          <w:color w:val="57606A"/>
          <w:sz w:val="22"/>
        </w:rPr>
        <w:t>4-Tier Analytics Ladder  |  Descriptive &gt; Diagnostic &gt; Predictive &gt; Prescriptive</w:t>
      </w:r>
    </w:p>
    <w:p/>
    <w:tbl>
      <w:tblPr>
        <w:tblW w:type="auto" w:w="0"/>
        <w:jc w:val="left"/>
        <w:tblLook w:firstColumn="1" w:firstRow="1" w:lastColumn="0" w:lastRow="0" w:noHBand="0" w:noVBand="1" w:val="04A0"/>
      </w:tblPr>
      <w:tblGrid>
        <w:gridCol w:w="9360"/>
      </w:tblGrid>
      <w:tr>
        <w:trPr>
          <w:trHeight w:val="102"/>
        </w:trPr>
        <w:tc>
          <w:tcPr>
            <w:tcW w:type="dxa" w:w="9360"/>
            <w:shd w:val="clear" w:color="auto" w:fill="3B82D4"/>
          </w:tcPr>
          <w:p/>
        </w:tc>
      </w:tr>
    </w:tbl>
    <w:p/>
    <w:tbl>
      <w:tblPr>
        <w:tblW w:type="auto" w:w="0"/>
        <w:jc w:val="center"/>
        <w:tblLook w:firstColumn="1" w:firstRow="1" w:lastColumn="0" w:lastRow="0" w:noHBand="0" w:noVBand="1" w:val="04A0"/>
      </w:tblPr>
      <w:tblGrid>
        <w:gridCol w:w="4680"/>
        <w:gridCol w:w="4680"/>
      </w:tblGrid>
      <w:tr>
        <w:tc>
          <w:tcPr>
            <w:tcW w:type="dxa" w:w="2835"/>
            <w:shd w:val="clear" w:color="auto" w:fill="F7F8FA"/>
          </w:tcPr>
          <w:p>
            <w:pPr>
              <w:spacing w:before="0" w:after="40"/>
            </w:pPr>
            <w:r>
              <w:rPr>
                <w:rFonts w:ascii="Calibri" w:hAnsi="Calibri"/>
                <w:b/>
                <w:color w:val="1F2328"/>
                <w:sz w:val="20"/>
              </w:rPr>
              <w:t>Sector</w:t>
            </w:r>
          </w:p>
        </w:tc>
        <w:tc>
          <w:tcPr>
            <w:tcW w:type="dxa" w:w="6236"/>
            <w:shd w:val="clear" w:color="auto" w:fill="FFFFFF"/>
          </w:tcPr>
          <w:p>
            <w:pPr>
              <w:spacing w:before="0" w:after="40"/>
            </w:pPr>
            <w:r>
              <w:rPr>
                <w:rFonts w:ascii="Calibri" w:hAnsi="Calibri"/>
                <w:color w:val="1F2328"/>
                <w:sz w:val="20"/>
              </w:rPr>
              <w:t>Telecommunications</w:t>
            </w:r>
          </w:p>
        </w:tc>
      </w:tr>
      <w:tr>
        <w:tc>
          <w:tcPr>
            <w:tcW w:type="dxa" w:w="2835"/>
            <w:shd w:val="clear" w:color="auto" w:fill="F7F8FA"/>
          </w:tcPr>
          <w:p>
            <w:pPr>
              <w:spacing w:before="0" w:after="40"/>
            </w:pPr>
            <w:r>
              <w:rPr>
                <w:rFonts w:ascii="Calibri" w:hAnsi="Calibri"/>
                <w:b/>
                <w:color w:val="1F2328"/>
                <w:sz w:val="20"/>
              </w:rPr>
              <w:t>Dataset</w:t>
            </w:r>
          </w:p>
        </w:tc>
        <w:tc>
          <w:tcPr>
            <w:tcW w:type="dxa" w:w="6236"/>
            <w:shd w:val="clear" w:color="auto" w:fill="FFFFFF"/>
          </w:tcPr>
          <w:p>
            <w:pPr>
              <w:spacing w:before="0" w:after="40"/>
            </w:pPr>
            <w:r>
              <w:rPr>
                <w:rFonts w:ascii="Calibri" w:hAnsi="Calibri"/>
                <w:color w:val="1F2328"/>
                <w:sz w:val="20"/>
              </w:rPr>
              <w:t>IBM Telco Customer Churn  --  7,043 customers, 21 features</w:t>
            </w:r>
          </w:p>
        </w:tc>
      </w:tr>
      <w:tr>
        <w:tc>
          <w:tcPr>
            <w:tcW w:type="dxa" w:w="2835"/>
            <w:shd w:val="clear" w:color="auto" w:fill="F7F8FA"/>
          </w:tcPr>
          <w:p>
            <w:pPr>
              <w:spacing w:before="0" w:after="40"/>
            </w:pPr>
            <w:r>
              <w:rPr>
                <w:rFonts w:ascii="Calibri" w:hAnsi="Calibri"/>
                <w:b/>
                <w:color w:val="1F2328"/>
                <w:sz w:val="20"/>
              </w:rPr>
              <w:t>Target variable</w:t>
            </w:r>
          </w:p>
        </w:tc>
        <w:tc>
          <w:tcPr>
            <w:tcW w:type="dxa" w:w="6236"/>
            <w:shd w:val="clear" w:color="auto" w:fill="FFFFFF"/>
          </w:tcPr>
          <w:p>
            <w:pPr>
              <w:spacing w:before="0" w:after="40"/>
            </w:pPr>
            <w:r>
              <w:rPr>
                <w:rFonts w:ascii="Calibri" w:hAnsi="Calibri"/>
                <w:color w:val="1F2328"/>
                <w:sz w:val="20"/>
              </w:rPr>
              <w:t>Customer Churn (binary: Yes = 1 / No = 0)</w:t>
            </w:r>
          </w:p>
        </w:tc>
      </w:tr>
      <w:tr>
        <w:tc>
          <w:tcPr>
            <w:tcW w:type="dxa" w:w="2835"/>
            <w:shd w:val="clear" w:color="auto" w:fill="F7F8FA"/>
          </w:tcPr>
          <w:p>
            <w:pPr>
              <w:spacing w:before="0" w:after="40"/>
            </w:pPr>
            <w:r>
              <w:rPr>
                <w:rFonts w:ascii="Calibri" w:hAnsi="Calibri"/>
                <w:b/>
                <w:color w:val="1F2328"/>
                <w:sz w:val="20"/>
              </w:rPr>
              <w:t>Models compared</w:t>
            </w:r>
          </w:p>
        </w:tc>
        <w:tc>
          <w:tcPr>
            <w:tcW w:type="dxa" w:w="6236"/>
            <w:shd w:val="clear" w:color="auto" w:fill="FFFFFF"/>
          </w:tcPr>
          <w:p>
            <w:pPr>
              <w:spacing w:before="0" w:after="40"/>
            </w:pPr>
            <w:r>
              <w:rPr>
                <w:rFonts w:ascii="Calibri" w:hAnsi="Calibri"/>
                <w:color w:val="1F2328"/>
                <w:sz w:val="20"/>
              </w:rPr>
              <w:t>Logistic Regression  |  Random Forest</w:t>
            </w:r>
          </w:p>
        </w:tc>
      </w:tr>
      <w:tr>
        <w:tc>
          <w:tcPr>
            <w:tcW w:type="dxa" w:w="2835"/>
            <w:shd w:val="clear" w:color="auto" w:fill="F7F8FA"/>
          </w:tcPr>
          <w:p>
            <w:pPr>
              <w:spacing w:before="0" w:after="40"/>
            </w:pPr>
            <w:r>
              <w:rPr>
                <w:rFonts w:ascii="Calibri" w:hAnsi="Calibri"/>
                <w:b/>
                <w:color w:val="1F2328"/>
                <w:sz w:val="20"/>
              </w:rPr>
              <w:t>Winner model</w:t>
            </w:r>
          </w:p>
        </w:tc>
        <w:tc>
          <w:tcPr>
            <w:tcW w:type="dxa" w:w="6236"/>
            <w:shd w:val="clear" w:color="auto" w:fill="FFFFFF"/>
          </w:tcPr>
          <w:p>
            <w:pPr>
              <w:spacing w:before="0" w:after="40"/>
            </w:pPr>
            <w:r>
              <w:rPr>
                <w:rFonts w:ascii="Calibri" w:hAnsi="Calibri"/>
                <w:color w:val="1F2328"/>
                <w:sz w:val="20"/>
              </w:rPr>
              <w:t>Logistic Regression  (ROC-AUC 0.8416)</w:t>
            </w:r>
          </w:p>
        </w:tc>
      </w:tr>
      <w:tr>
        <w:tc>
          <w:tcPr>
            <w:tcW w:type="dxa" w:w="2835"/>
            <w:shd w:val="clear" w:color="auto" w:fill="F7F8FA"/>
          </w:tcPr>
          <w:p>
            <w:pPr>
              <w:spacing w:before="0" w:after="40"/>
            </w:pPr>
            <w:r>
              <w:rPr>
                <w:rFonts w:ascii="Calibri" w:hAnsi="Calibri"/>
                <w:b/>
                <w:color w:val="1F2328"/>
                <w:sz w:val="20"/>
              </w:rPr>
              <w:t>Winner Recall</w:t>
            </w:r>
          </w:p>
        </w:tc>
        <w:tc>
          <w:tcPr>
            <w:tcW w:type="dxa" w:w="6236"/>
            <w:shd w:val="clear" w:color="auto" w:fill="FFFFFF"/>
          </w:tcPr>
          <w:p>
            <w:pPr>
              <w:spacing w:before="0" w:after="40"/>
            </w:pPr>
            <w:r>
              <w:rPr>
                <w:rFonts w:ascii="Calibri" w:hAnsi="Calibri"/>
                <w:color w:val="1F2328"/>
                <w:sz w:val="20"/>
              </w:rPr>
              <w:t>78.3%  (Logistic Regression, test set)</w:t>
            </w:r>
          </w:p>
        </w:tc>
      </w:tr>
      <w:tr>
        <w:tc>
          <w:tcPr>
            <w:tcW w:type="dxa" w:w="2835"/>
            <w:shd w:val="clear" w:color="auto" w:fill="F7F8FA"/>
          </w:tcPr>
          <w:p>
            <w:pPr>
              <w:spacing w:before="0" w:after="40"/>
            </w:pPr>
            <w:r>
              <w:rPr>
                <w:rFonts w:ascii="Calibri" w:hAnsi="Calibri"/>
                <w:b/>
                <w:color w:val="1F2328"/>
                <w:sz w:val="20"/>
              </w:rPr>
              <w:t>Winner F1-Score</w:t>
            </w:r>
          </w:p>
        </w:tc>
        <w:tc>
          <w:tcPr>
            <w:tcW w:type="dxa" w:w="6236"/>
            <w:shd w:val="clear" w:color="auto" w:fill="FFFFFF"/>
          </w:tcPr>
          <w:p>
            <w:pPr>
              <w:spacing w:before="0" w:after="40"/>
            </w:pPr>
            <w:r>
              <w:rPr>
                <w:rFonts w:ascii="Calibri" w:hAnsi="Calibri"/>
                <w:color w:val="1F2328"/>
                <w:sz w:val="20"/>
              </w:rPr>
              <w:t>61.4%  (Logistic Regression, test set)</w:t>
            </w:r>
          </w:p>
        </w:tc>
      </w:tr>
      <w:tr>
        <w:tc>
          <w:tcPr>
            <w:tcW w:type="dxa" w:w="2835"/>
            <w:shd w:val="clear" w:color="auto" w:fill="F7F8FA"/>
          </w:tcPr>
          <w:p>
            <w:pPr>
              <w:spacing w:before="0" w:after="40"/>
            </w:pPr>
            <w:r>
              <w:rPr>
                <w:rFonts w:ascii="Calibri" w:hAnsi="Calibri"/>
                <w:b/>
                <w:color w:val="1F2328"/>
                <w:sz w:val="20"/>
              </w:rPr>
              <w:t>OOF top-20% capture</w:t>
            </w:r>
          </w:p>
        </w:tc>
        <w:tc>
          <w:tcPr>
            <w:tcW w:type="dxa" w:w="6236"/>
            <w:shd w:val="clear" w:color="auto" w:fill="FFFFFF"/>
          </w:tcPr>
          <w:p>
            <w:pPr>
              <w:spacing w:before="0" w:after="40"/>
            </w:pPr>
            <w:r>
              <w:rPr>
                <w:rFonts w:ascii="Calibri" w:hAnsi="Calibri"/>
                <w:color w:val="1F2328"/>
                <w:sz w:val="20"/>
              </w:rPr>
              <w:t>51.0% of actual churners (5-fold cross-validated)</w:t>
            </w:r>
          </w:p>
        </w:tc>
      </w:tr>
    </w:tbl>
    <w:p/>
    <w:p/>
    <w:p>
      <w:pPr>
        <w:jc w:val="center"/>
        <w:spacing w:before="0" w:after="40"/>
      </w:pPr>
      <w:r>
        <w:rPr>
          <w:rFonts w:ascii="Calibri" w:hAnsi="Calibri"/>
          <w:i/>
          <w:color w:val="57606A"/>
          <w:sz w:val="18"/>
        </w:rPr>
        <w:t>All model metrics computed from actual dataset execution  --  No values hardcoded or approximated</w:t>
      </w:r>
    </w:p>
    <w:p>
      <w:r>
        <w:br w:type="page"/>
      </w:r>
    </w:p>
    <w:p>
      <w:pPr>
        <w:spacing w:before="120" w:after="120"/>
        <w:pBdr>
          <w:bottom w:val="single" w:sz="6" w:space="1" w:color="3B82D4"/>
        </w:pBdr>
      </w:pPr>
      <w:r>
        <w:rPr>
          <w:rFonts w:ascii="Calibri" w:hAnsi="Calibri"/>
          <w:b/>
          <w:color w:val="3B82D4"/>
          <w:sz w:val="44"/>
        </w:rPr>
        <w:t>1.  Executive Summary</w:t>
      </w:r>
    </w:p>
    <w:p>
      <w:pPr>
        <w:spacing w:before="0" w:after="80"/>
      </w:pPr>
      <w:r>
        <w:rPr>
          <w:rFonts w:ascii="Calibri" w:hAnsi="Calibri"/>
          <w:i w:val="0"/>
          <w:color w:val="1F2328"/>
          <w:sz w:val="21"/>
        </w:rPr>
        <w:t>This report presents a full-stack Data Analytics and Machine Learning project on the IBM Telco Customer Churn dataset, applying the 4-Tier Analytics Ladder (Descriptive, Diagnostic, Predictive, Prescriptive). The goal is to transform raw subscriber data into actionable churn intelligence.</w:t>
      </w:r>
    </w:p>
    <w:p>
      <w:pPr>
        <w:spacing w:before="0" w:after="80"/>
      </w:pPr>
      <w:r>
        <w:rPr>
          <w:rFonts w:ascii="Calibri" w:hAnsi="Calibri"/>
          <w:i w:val="0"/>
          <w:color w:val="1F2328"/>
          <w:sz w:val="21"/>
        </w:rPr>
        <w:t>26.5% of the 7,043 customers churned. Month-to-month contract holders churn at 42.7%, customers in their first 12 months face the highest churn risk, and Fiber Optic subscribers consistently show elevated churn rates across all cohorts. The winning Logistic Regression model achieves a ROC-AUC of 0.8416 and a Recall of 78.3% on the held-out test set. Using 5-fold out-of-fold risk scores, targeting the top 20% of customers captures 51.0% of all actual churners.</w:t>
      </w:r>
    </w:p>
    <w:p>
      <w:pPr>
        <w:spacing w:before="120" w:after="120"/>
      </w:pPr>
      <w:r>
        <w:rPr>
          <w:rFonts w:ascii="Calibri" w:hAnsi="Calibri"/>
          <w:b/>
          <w:color w:val="1F2328"/>
          <w:sz w:val="26"/>
        </w:rPr>
        <w:t>KPIs at a Glance</w:t>
      </w:r>
    </w:p>
    <w:tbl>
      <w:tblPr>
        <w:tblW w:type="auto" w:w="0"/>
        <w:jc w:val="left"/>
        <w:tblLook w:firstColumn="1" w:firstRow="1" w:lastColumn="0" w:lastRow="0" w:noHBand="0" w:noVBand="1" w:val="04A0"/>
      </w:tblPr>
      <w:tblGrid>
        <w:gridCol w:w="4680"/>
        <w:gridCol w:w="4680"/>
      </w:tblGrid>
      <w:tr>
        <w:tc>
          <w:tcPr>
            <w:tcW w:type="dxa" w:w="3969"/>
            <w:shd w:val="clear" w:color="auto" w:fill="1F2328"/>
            <w:vAlign w:val="center"/>
          </w:tcPr>
          <w:p>
            <w:pPr>
              <w:jc w:val="center"/>
              <w:spacing w:before="0" w:after="40"/>
            </w:pPr>
            <w:r>
              <w:rPr>
                <w:rFonts w:ascii="Calibri" w:hAnsi="Calibri"/>
                <w:b/>
                <w:color w:val="FFFFFF"/>
                <w:sz w:val="20"/>
              </w:rPr>
              <w:t>Metric</w:t>
            </w:r>
          </w:p>
        </w:tc>
        <w:tc>
          <w:tcPr>
            <w:tcW w:type="dxa" w:w="5102"/>
            <w:shd w:val="clear" w:color="auto" w:fill="1F2328"/>
            <w:vAlign w:val="center"/>
          </w:tcPr>
          <w:p>
            <w:pPr>
              <w:jc w:val="center"/>
              <w:spacing w:before="0" w:after="40"/>
            </w:pPr>
            <w:r>
              <w:rPr>
                <w:rFonts w:ascii="Calibri" w:hAnsi="Calibri"/>
                <w:b/>
                <w:color w:val="FFFFFF"/>
                <w:sz w:val="20"/>
              </w:rPr>
              <w:t>Value</w:t>
            </w:r>
          </w:p>
        </w:tc>
      </w:tr>
      <w:tr>
        <w:tc>
          <w:tcPr>
            <w:tcW w:type="dxa" w:w="3969"/>
            <w:shd w:val="clear" w:color="auto" w:fill="FFFFFF"/>
            <w:vAlign w:val="center"/>
          </w:tcPr>
          <w:p>
            <w:pPr>
              <w:jc w:val="center"/>
              <w:spacing w:before="0" w:after="40"/>
            </w:pPr>
            <w:r>
              <w:rPr>
                <w:rFonts w:ascii="Calibri" w:hAnsi="Calibri"/>
                <w:color w:val="1F2328"/>
                <w:sz w:val="20"/>
              </w:rPr>
              <w:t>Total customers</w:t>
            </w:r>
          </w:p>
        </w:tc>
        <w:tc>
          <w:tcPr>
            <w:tcW w:type="dxa" w:w="5102"/>
            <w:shd w:val="clear" w:color="auto" w:fill="FFFFFF"/>
            <w:vAlign w:val="center"/>
          </w:tcPr>
          <w:p>
            <w:pPr>
              <w:jc w:val="center"/>
              <w:spacing w:before="0" w:after="40"/>
            </w:pPr>
            <w:r>
              <w:rPr>
                <w:rFonts w:ascii="Calibri" w:hAnsi="Calibri"/>
                <w:color w:val="1F2328"/>
                <w:sz w:val="20"/>
              </w:rPr>
              <w:t>7,043</w:t>
            </w:r>
          </w:p>
        </w:tc>
      </w:tr>
      <w:tr>
        <w:tc>
          <w:tcPr>
            <w:tcW w:type="dxa" w:w="3969"/>
            <w:shd w:val="clear" w:color="auto" w:fill="F7F8FA"/>
            <w:vAlign w:val="center"/>
          </w:tcPr>
          <w:p>
            <w:pPr>
              <w:jc w:val="center"/>
              <w:spacing w:before="0" w:after="40"/>
            </w:pPr>
            <w:r>
              <w:rPr>
                <w:rFonts w:ascii="Calibri" w:hAnsi="Calibri"/>
                <w:color w:val="1F2328"/>
                <w:sz w:val="20"/>
              </w:rPr>
              <w:t>Overall churn rate</w:t>
            </w:r>
          </w:p>
        </w:tc>
        <w:tc>
          <w:tcPr>
            <w:tcW w:type="dxa" w:w="5102"/>
            <w:shd w:val="clear" w:color="auto" w:fill="F7F8FA"/>
            <w:vAlign w:val="center"/>
          </w:tcPr>
          <w:p>
            <w:pPr>
              <w:jc w:val="center"/>
              <w:spacing w:before="0" w:after="40"/>
            </w:pPr>
            <w:r>
              <w:rPr>
                <w:rFonts w:ascii="Calibri" w:hAnsi="Calibri"/>
                <w:color w:val="1F2328"/>
                <w:sz w:val="20"/>
              </w:rPr>
              <w:t>26.5%  (1,869 churners)</w:t>
            </w:r>
          </w:p>
        </w:tc>
      </w:tr>
      <w:tr>
        <w:tc>
          <w:tcPr>
            <w:tcW w:type="dxa" w:w="3969"/>
            <w:shd w:val="clear" w:color="auto" w:fill="FFFFFF"/>
            <w:vAlign w:val="center"/>
          </w:tcPr>
          <w:p>
            <w:pPr>
              <w:jc w:val="center"/>
              <w:spacing w:before="0" w:after="40"/>
            </w:pPr>
            <w:r>
              <w:rPr>
                <w:rFonts w:ascii="Calibri" w:hAnsi="Calibri"/>
                <w:color w:val="1F2328"/>
                <w:sz w:val="20"/>
              </w:rPr>
              <w:t>Avg. customer tenure</w:t>
            </w:r>
          </w:p>
        </w:tc>
        <w:tc>
          <w:tcPr>
            <w:tcW w:type="dxa" w:w="5102"/>
            <w:shd w:val="clear" w:color="auto" w:fill="FFFFFF"/>
            <w:vAlign w:val="center"/>
          </w:tcPr>
          <w:p>
            <w:pPr>
              <w:jc w:val="center"/>
              <w:spacing w:before="0" w:after="40"/>
            </w:pPr>
            <w:r>
              <w:rPr>
                <w:rFonts w:ascii="Calibri" w:hAnsi="Calibri"/>
                <w:color w:val="1F2328"/>
                <w:sz w:val="20"/>
              </w:rPr>
              <w:t>32.4 months</w:t>
            </w:r>
          </w:p>
        </w:tc>
      </w:tr>
      <w:tr>
        <w:tc>
          <w:tcPr>
            <w:tcW w:type="dxa" w:w="3969"/>
            <w:shd w:val="clear" w:color="auto" w:fill="F7F8FA"/>
            <w:vAlign w:val="center"/>
          </w:tcPr>
          <w:p>
            <w:pPr>
              <w:jc w:val="center"/>
              <w:spacing w:before="0" w:after="40"/>
            </w:pPr>
            <w:r>
              <w:rPr>
                <w:rFonts w:ascii="Calibri" w:hAnsi="Calibri"/>
                <w:color w:val="1F2328"/>
                <w:sz w:val="20"/>
              </w:rPr>
              <w:t>Avg. monthly charges</w:t>
            </w:r>
          </w:p>
        </w:tc>
        <w:tc>
          <w:tcPr>
            <w:tcW w:type="dxa" w:w="5102"/>
            <w:shd w:val="clear" w:color="auto" w:fill="F7F8FA"/>
            <w:vAlign w:val="center"/>
          </w:tcPr>
          <w:p>
            <w:pPr>
              <w:jc w:val="center"/>
              <w:spacing w:before="0" w:after="40"/>
            </w:pPr>
            <w:r>
              <w:rPr>
                <w:rFonts w:ascii="Calibri" w:hAnsi="Calibri"/>
                <w:color w:val="1F2328"/>
                <w:sz w:val="20"/>
              </w:rPr>
              <w:t>$64.76</w:t>
            </w:r>
          </w:p>
        </w:tc>
      </w:tr>
      <w:tr>
        <w:tc>
          <w:tcPr>
            <w:tcW w:type="dxa" w:w="3969"/>
            <w:shd w:val="clear" w:color="auto" w:fill="FFFFFF"/>
            <w:vAlign w:val="center"/>
          </w:tcPr>
          <w:p>
            <w:pPr>
              <w:jc w:val="center"/>
              <w:spacing w:before="0" w:after="40"/>
            </w:pPr>
            <w:r>
              <w:rPr>
                <w:rFonts w:ascii="Calibri" w:hAnsi="Calibri"/>
                <w:color w:val="1F2328"/>
                <w:sz w:val="20"/>
              </w:rPr>
              <w:t>Avg. total charges</w:t>
            </w:r>
          </w:p>
        </w:tc>
        <w:tc>
          <w:tcPr>
            <w:tcW w:type="dxa" w:w="5102"/>
            <w:shd w:val="clear" w:color="auto" w:fill="FFFFFF"/>
            <w:vAlign w:val="center"/>
          </w:tcPr>
          <w:p>
            <w:pPr>
              <w:jc w:val="center"/>
              <w:spacing w:before="0" w:after="40"/>
            </w:pPr>
            <w:r>
              <w:rPr>
                <w:rFonts w:ascii="Calibri" w:hAnsi="Calibri"/>
                <w:color w:val="1F2328"/>
                <w:sz w:val="20"/>
              </w:rPr>
              <w:t>$2,279.80</w:t>
            </w:r>
          </w:p>
        </w:tc>
      </w:tr>
      <w:tr>
        <w:tc>
          <w:tcPr>
            <w:tcW w:type="dxa" w:w="3969"/>
            <w:shd w:val="clear" w:color="auto" w:fill="F7F8FA"/>
            <w:vAlign w:val="center"/>
          </w:tcPr>
          <w:p>
            <w:pPr>
              <w:jc w:val="center"/>
              <w:spacing w:before="0" w:after="40"/>
            </w:pPr>
            <w:r>
              <w:rPr>
                <w:rFonts w:ascii="Calibri" w:hAnsi="Calibri"/>
                <w:color w:val="1F2328"/>
                <w:sz w:val="20"/>
              </w:rPr>
              <w:t>Month-to-month contract share</w:t>
            </w:r>
          </w:p>
        </w:tc>
        <w:tc>
          <w:tcPr>
            <w:tcW w:type="dxa" w:w="5102"/>
            <w:shd w:val="clear" w:color="auto" w:fill="F7F8FA"/>
            <w:vAlign w:val="center"/>
          </w:tcPr>
          <w:p>
            <w:pPr>
              <w:jc w:val="center"/>
              <w:spacing w:before="0" w:after="40"/>
            </w:pPr>
            <w:r>
              <w:rPr>
                <w:rFonts w:ascii="Calibri" w:hAnsi="Calibri"/>
                <w:color w:val="1F2328"/>
                <w:sz w:val="20"/>
              </w:rPr>
              <w:t>55.0%</w:t>
            </w:r>
          </w:p>
        </w:tc>
      </w:tr>
      <w:tr>
        <w:tc>
          <w:tcPr>
            <w:tcW w:type="dxa" w:w="3969"/>
            <w:shd w:val="clear" w:color="auto" w:fill="FFFFFF"/>
            <w:vAlign w:val="center"/>
          </w:tcPr>
          <w:p>
            <w:pPr>
              <w:jc w:val="center"/>
              <w:spacing w:before="0" w:after="40"/>
            </w:pPr>
            <w:r>
              <w:rPr>
                <w:rFonts w:ascii="Calibri" w:hAnsi="Calibri"/>
                <w:color w:val="1F2328"/>
                <w:sz w:val="20"/>
              </w:rPr>
              <w:t>Winner model</w:t>
            </w:r>
          </w:p>
        </w:tc>
        <w:tc>
          <w:tcPr>
            <w:tcW w:type="dxa" w:w="5102"/>
            <w:shd w:val="clear" w:color="auto" w:fill="FFFFFF"/>
            <w:vAlign w:val="center"/>
          </w:tcPr>
          <w:p>
            <w:pPr>
              <w:jc w:val="center"/>
              <w:spacing w:before="0" w:after="40"/>
            </w:pPr>
            <w:r>
              <w:rPr>
                <w:rFonts w:ascii="Calibri" w:hAnsi="Calibri"/>
                <w:color w:val="1F2328"/>
                <w:sz w:val="20"/>
              </w:rPr>
              <w:t>Logistic Regression  (ROC-AUC 0.8416)</w:t>
            </w:r>
          </w:p>
        </w:tc>
      </w:tr>
      <w:tr>
        <w:tc>
          <w:tcPr>
            <w:tcW w:type="dxa" w:w="3969"/>
            <w:shd w:val="clear" w:color="auto" w:fill="F7F8FA"/>
            <w:vAlign w:val="center"/>
          </w:tcPr>
          <w:p>
            <w:pPr>
              <w:jc w:val="center"/>
              <w:spacing w:before="0" w:after="40"/>
            </w:pPr>
            <w:r>
              <w:rPr>
                <w:rFonts w:ascii="Calibri" w:hAnsi="Calibri"/>
                <w:color w:val="1F2328"/>
                <w:sz w:val="20"/>
              </w:rPr>
              <w:t>OOF top-20% capture rate</w:t>
            </w:r>
          </w:p>
        </w:tc>
        <w:tc>
          <w:tcPr>
            <w:tcW w:type="dxa" w:w="5102"/>
            <w:shd w:val="clear" w:color="auto" w:fill="F7F8FA"/>
            <w:vAlign w:val="center"/>
          </w:tcPr>
          <w:p>
            <w:pPr>
              <w:jc w:val="center"/>
              <w:spacing w:before="0" w:after="40"/>
            </w:pPr>
            <w:r>
              <w:rPr>
                <w:rFonts w:ascii="Calibri" w:hAnsi="Calibri"/>
                <w:color w:val="1F2328"/>
                <w:sz w:val="20"/>
              </w:rPr>
              <w:t>51.0%  (954 / 1,869 churners)</w:t>
            </w:r>
          </w:p>
        </w:tc>
      </w:tr>
    </w:tbl>
    <w:p/>
    <w:p>
      <w:r>
        <w:br w:type="page"/>
      </w:r>
    </w:p>
    <w:p>
      <w:pPr>
        <w:spacing w:before="120" w:after="120"/>
        <w:pBdr>
          <w:bottom w:val="single" w:sz="6" w:space="1" w:color="3B82D4"/>
        </w:pBdr>
      </w:pPr>
      <w:r>
        <w:rPr>
          <w:rFonts w:ascii="Calibri" w:hAnsi="Calibri"/>
          <w:b/>
          <w:color w:val="3B82D4"/>
          <w:sz w:val="44"/>
        </w:rPr>
        <w:t>2.  Problem Statement</w:t>
      </w:r>
    </w:p>
    <w:p>
      <w:pPr>
        <w:spacing w:before="0" w:after="80"/>
      </w:pPr>
      <w:r>
        <w:rPr>
          <w:rFonts w:ascii="Calibri" w:hAnsi="Calibri"/>
          <w:i w:val="0"/>
          <w:color w:val="1F2328"/>
          <w:sz w:val="21"/>
        </w:rPr>
        <w:t>Customer churn is the most costly revenue leakage vector in subscription-based telecommunications. Proactively identifying at-risk customers enables targeted retention interventions at substantially lower cost than acquiring new customers.</w:t>
      </w:r>
    </w:p>
    <w:p>
      <w:pPr>
        <w:spacing w:before="0" w:after="80"/>
      </w:pPr>
      <w:r>
        <w:rPr>
          <w:rFonts w:ascii="Calibri" w:hAnsi="Calibri"/>
          <w:i w:val="0"/>
          <w:color w:val="1F2328"/>
          <w:sz w:val="21"/>
        </w:rPr>
        <w:t>This project addresses four questions:</w:t>
      </w:r>
    </w:p>
    <w:p>
      <w:pPr>
        <w:pStyle w:val="ListBullet"/>
        <w:spacing w:before="0" w:after="60"/>
      </w:pPr>
      <w:r>
        <w:rPr>
          <w:rFonts w:ascii="Calibri" w:hAnsi="Calibri"/>
          <w:b/>
          <w:color w:val="1F2328"/>
          <w:sz w:val="21"/>
        </w:rPr>
        <w:t xml:space="preserve">Q1.  </w:t>
      </w:r>
      <w:r>
        <w:rPr>
          <w:rFonts w:ascii="Calibri" w:hAnsi="Calibri"/>
          <w:color w:val="1F2328"/>
          <w:sz w:val="21"/>
        </w:rPr>
        <w:t>Which customers are at higher churn risk?</w:t>
      </w:r>
    </w:p>
    <w:p>
      <w:pPr>
        <w:pStyle w:val="ListBullet"/>
        <w:spacing w:before="0" w:after="60"/>
      </w:pPr>
      <w:r>
        <w:rPr>
          <w:rFonts w:ascii="Calibri" w:hAnsi="Calibri"/>
          <w:b/>
          <w:color w:val="1F2328"/>
          <w:sz w:val="21"/>
        </w:rPr>
        <w:t xml:space="preserve">Q2.  </w:t>
      </w:r>
      <w:r>
        <w:rPr>
          <w:rFonts w:ascii="Calibri" w:hAnsi="Calibri"/>
          <w:color w:val="1F2328"/>
          <w:sz w:val="21"/>
        </w:rPr>
        <w:t>What observable characteristics are associated with churn?</w:t>
      </w:r>
    </w:p>
    <w:p>
      <w:pPr>
        <w:pStyle w:val="ListBullet"/>
        <w:spacing w:before="0" w:after="60"/>
      </w:pPr>
      <w:r>
        <w:rPr>
          <w:rFonts w:ascii="Calibri" w:hAnsi="Calibri"/>
          <w:b/>
          <w:color w:val="1F2328"/>
          <w:sz w:val="21"/>
        </w:rPr>
        <w:t xml:space="preserve">Q3.  </w:t>
      </w:r>
      <w:r>
        <w:rPr>
          <w:rFonts w:ascii="Calibri" w:hAnsi="Calibri"/>
          <w:color w:val="1F2328"/>
          <w:sz w:val="21"/>
        </w:rPr>
        <w:t>How can limited retention resources be prioritised?</w:t>
      </w:r>
    </w:p>
    <w:p>
      <w:pPr>
        <w:pStyle w:val="ListBullet"/>
        <w:spacing w:before="0" w:after="60"/>
      </w:pPr>
      <w:r>
        <w:rPr>
          <w:rFonts w:ascii="Calibri" w:hAnsi="Calibri"/>
          <w:b/>
          <w:color w:val="1F2328"/>
          <w:sz w:val="21"/>
        </w:rPr>
        <w:t xml:space="preserve">Q4.  </w:t>
      </w:r>
      <w:r>
        <w:rPr>
          <w:rFonts w:ascii="Calibri" w:hAnsi="Calibri"/>
          <w:color w:val="1F2328"/>
          <w:sz w:val="21"/>
        </w:rPr>
        <w:t>What practical retention actions could be considered?</w:t>
      </w:r>
    </w:p>
    <w:p/>
    <w:p>
      <w:pPr>
        <w:spacing w:before="0" w:after="80"/>
      </w:pPr>
      <w:r>
        <w:rPr>
          <w:rFonts w:ascii="Calibri" w:hAnsi="Calibri"/>
          <w:i w:val="0"/>
          <w:color w:val="1F2328"/>
          <w:sz w:val="21"/>
        </w:rPr>
        <w:t>The dataset contains 7,043 unique customer records across 21 features: demographics, account information, subscribed services, contract type, billing method, and the binary churn outcome.</w:t>
      </w:r>
    </w:p>
    <w:p>
      <w:r>
        <w:br w:type="page"/>
      </w:r>
    </w:p>
    <w:p>
      <w:pPr>
        <w:spacing w:before="120" w:after="120"/>
        <w:pBdr>
          <w:bottom w:val="single" w:sz="6" w:space="1" w:color="3B82D4"/>
        </w:pBdr>
      </w:pPr>
      <w:r>
        <w:rPr>
          <w:rFonts w:ascii="Calibri" w:hAnsi="Calibri"/>
          <w:b/>
          <w:color w:val="3B82D4"/>
          <w:sz w:val="44"/>
        </w:rPr>
        <w:t>3.  Data Hygiene &amp; Architecture  (Tier 0)</w:t>
      </w:r>
    </w:p>
    <w:p>
      <w:pPr>
        <w:spacing w:before="120" w:after="120"/>
        <w:pBdr>
          <w:bottom w:val="single" w:sz="6" w:space="1" w:color="1F2328"/>
        </w:pBdr>
      </w:pPr>
      <w:r>
        <w:rPr>
          <w:rFonts w:ascii="Calibri" w:hAnsi="Calibri"/>
          <w:b/>
          <w:color w:val="1F2328"/>
          <w:sz w:val="32"/>
        </w:rPr>
        <w:t>3.1  Data Quality Audit</w:t>
      </w:r>
    </w:p>
    <w:tbl>
      <w:tblPr>
        <w:tblW w:type="auto" w:w="0"/>
        <w:jc w:val="left"/>
        <w:tblLook w:firstColumn="1" w:firstRow="1" w:lastColumn="0" w:lastRow="0" w:noHBand="0" w:noVBand="1" w:val="04A0"/>
      </w:tblPr>
      <w:tblGrid>
        <w:gridCol w:w="3120"/>
        <w:gridCol w:w="3120"/>
        <w:gridCol w:w="3120"/>
      </w:tblGrid>
      <w:tr>
        <w:tc>
          <w:tcPr>
            <w:tcW w:type="dxa" w:w="2551"/>
            <w:shd w:val="clear" w:color="auto" w:fill="1F2328"/>
            <w:vAlign w:val="center"/>
          </w:tcPr>
          <w:p>
            <w:pPr>
              <w:jc w:val="center"/>
              <w:spacing w:before="0" w:after="40"/>
            </w:pPr>
            <w:r>
              <w:rPr>
                <w:rFonts w:ascii="Calibri" w:hAnsi="Calibri"/>
                <w:b/>
                <w:color w:val="FFFFFF"/>
                <w:sz w:val="20"/>
              </w:rPr>
              <w:t>Issue Identified</w:t>
            </w:r>
          </w:p>
        </w:tc>
        <w:tc>
          <w:tcPr>
            <w:tcW w:type="dxa" w:w="3118"/>
            <w:shd w:val="clear" w:color="auto" w:fill="1F2328"/>
            <w:vAlign w:val="center"/>
          </w:tcPr>
          <w:p>
            <w:pPr>
              <w:jc w:val="center"/>
              <w:spacing w:before="0" w:after="40"/>
            </w:pPr>
            <w:r>
              <w:rPr>
                <w:rFonts w:ascii="Calibri" w:hAnsi="Calibri"/>
                <w:b/>
                <w:color w:val="FFFFFF"/>
                <w:sz w:val="20"/>
              </w:rPr>
              <w:t>Root Cause</w:t>
            </w:r>
          </w:p>
        </w:tc>
        <w:tc>
          <w:tcPr>
            <w:tcW w:type="dxa" w:w="3402"/>
            <w:shd w:val="clear" w:color="auto" w:fill="1F2328"/>
            <w:vAlign w:val="center"/>
          </w:tcPr>
          <w:p>
            <w:pPr>
              <w:jc w:val="center"/>
              <w:spacing w:before="0" w:after="40"/>
            </w:pPr>
            <w:r>
              <w:rPr>
                <w:rFonts w:ascii="Calibri" w:hAnsi="Calibri"/>
                <w:b/>
                <w:color w:val="FFFFFF"/>
                <w:sz w:val="20"/>
              </w:rPr>
              <w:t>Treatment Applied</w:t>
            </w:r>
          </w:p>
        </w:tc>
      </w:tr>
      <w:tr>
        <w:tc>
          <w:tcPr>
            <w:tcW w:type="dxa" w:w="2551"/>
            <w:shd w:val="clear" w:color="auto" w:fill="FFFFFF"/>
            <w:vAlign w:val="center"/>
          </w:tcPr>
          <w:p>
            <w:pPr>
              <w:jc w:val="center"/>
              <w:spacing w:before="0" w:after="40"/>
            </w:pPr>
            <w:r>
              <w:rPr>
                <w:rFonts w:ascii="Calibri" w:hAnsi="Calibri"/>
                <w:color w:val="1F2328"/>
                <w:sz w:val="20"/>
              </w:rPr>
              <w:t>`TotalCharges` stored as object</w:t>
            </w:r>
          </w:p>
        </w:tc>
        <w:tc>
          <w:tcPr>
            <w:tcW w:type="dxa" w:w="3118"/>
            <w:shd w:val="clear" w:color="auto" w:fill="FFFFFF"/>
            <w:vAlign w:val="center"/>
          </w:tcPr>
          <w:p>
            <w:pPr>
              <w:jc w:val="center"/>
              <w:spacing w:before="0" w:after="40"/>
            </w:pPr>
            <w:r>
              <w:rPr>
                <w:rFonts w:ascii="Calibri" w:hAnsi="Calibri"/>
                <w:color w:val="1F2328"/>
                <w:sz w:val="20"/>
              </w:rPr>
              <w:t>Whitespace in CSV; blanks for new subscribers</w:t>
            </w:r>
          </w:p>
        </w:tc>
        <w:tc>
          <w:tcPr>
            <w:tcW w:type="dxa" w:w="3402"/>
            <w:shd w:val="clear" w:color="auto" w:fill="FFFFFF"/>
            <w:vAlign w:val="center"/>
          </w:tcPr>
          <w:p>
            <w:pPr>
              <w:jc w:val="center"/>
              <w:spacing w:before="0" w:after="40"/>
            </w:pPr>
            <w:r>
              <w:rPr>
                <w:rFonts w:ascii="Calibri" w:hAnsi="Calibri"/>
                <w:color w:val="1F2328"/>
                <w:sz w:val="20"/>
              </w:rPr>
              <w:t>Coerced to float64 via pd.to_numeric</w:t>
            </w:r>
          </w:p>
        </w:tc>
      </w:tr>
      <w:tr>
        <w:tc>
          <w:tcPr>
            <w:tcW w:type="dxa" w:w="2551"/>
            <w:shd w:val="clear" w:color="auto" w:fill="F7F8FA"/>
            <w:vAlign w:val="center"/>
          </w:tcPr>
          <w:p>
            <w:pPr>
              <w:jc w:val="center"/>
              <w:spacing w:before="0" w:after="40"/>
            </w:pPr>
            <w:r>
              <w:rPr>
                <w:rFonts w:ascii="Calibri" w:hAnsi="Calibri"/>
                <w:color w:val="1F2328"/>
                <w:sz w:val="20"/>
              </w:rPr>
              <w:t>11 blank `TotalCharges` entries</w:t>
            </w:r>
          </w:p>
        </w:tc>
        <w:tc>
          <w:tcPr>
            <w:tcW w:type="dxa" w:w="3118"/>
            <w:shd w:val="clear" w:color="auto" w:fill="F7F8FA"/>
            <w:vAlign w:val="center"/>
          </w:tcPr>
          <w:p>
            <w:pPr>
              <w:jc w:val="center"/>
              <w:spacing w:before="0" w:after="40"/>
            </w:pPr>
            <w:r>
              <w:rPr>
                <w:rFonts w:ascii="Calibri" w:hAnsi="Calibri"/>
                <w:color w:val="1F2328"/>
                <w:sz w:val="20"/>
              </w:rPr>
              <w:t>Customers with tenure approx 0 had no accumulated charges</w:t>
            </w:r>
          </w:p>
        </w:tc>
        <w:tc>
          <w:tcPr>
            <w:tcW w:type="dxa" w:w="3402"/>
            <w:shd w:val="clear" w:color="auto" w:fill="F7F8FA"/>
            <w:vAlign w:val="center"/>
          </w:tcPr>
          <w:p>
            <w:pPr>
              <w:jc w:val="center"/>
              <w:spacing w:before="0" w:after="40"/>
            </w:pPr>
            <w:r>
              <w:rPr>
                <w:rFonts w:ascii="Calibri" w:hAnsi="Calibri"/>
                <w:color w:val="1F2328"/>
                <w:sz w:val="20"/>
              </w:rPr>
              <w:t>Filled with MonthlyCharges x 1 (business-rule assumption, not statistical imputation)</w:t>
            </w:r>
          </w:p>
        </w:tc>
      </w:tr>
      <w:tr>
        <w:tc>
          <w:tcPr>
            <w:tcW w:type="dxa" w:w="2551"/>
            <w:shd w:val="clear" w:color="auto" w:fill="FFFFFF"/>
            <w:vAlign w:val="center"/>
          </w:tcPr>
          <w:p>
            <w:pPr>
              <w:jc w:val="center"/>
              <w:spacing w:before="0" w:after="40"/>
            </w:pPr>
            <w:r>
              <w:rPr>
                <w:rFonts w:ascii="Calibri" w:hAnsi="Calibri"/>
                <w:color w:val="1F2328"/>
                <w:sz w:val="20"/>
              </w:rPr>
              <w:t>Duplicate customerID records</w:t>
            </w:r>
          </w:p>
        </w:tc>
        <w:tc>
          <w:tcPr>
            <w:tcW w:type="dxa" w:w="3118"/>
            <w:shd w:val="clear" w:color="auto" w:fill="FFFFFF"/>
            <w:vAlign w:val="center"/>
          </w:tcPr>
          <w:p>
            <w:pPr>
              <w:jc w:val="center"/>
              <w:spacing w:before="0" w:after="40"/>
            </w:pPr>
            <w:r>
              <w:rPr>
                <w:rFonts w:ascii="Calibri" w:hAnsi="Calibri"/>
                <w:color w:val="1F2328"/>
                <w:sz w:val="20"/>
              </w:rPr>
              <w:t>N/A -- none found</w:t>
            </w:r>
          </w:p>
        </w:tc>
        <w:tc>
          <w:tcPr>
            <w:tcW w:type="dxa" w:w="3402"/>
            <w:shd w:val="clear" w:color="auto" w:fill="FFFFFF"/>
            <w:vAlign w:val="center"/>
          </w:tcPr>
          <w:p>
            <w:pPr>
              <w:jc w:val="center"/>
              <w:spacing w:before="0" w:after="40"/>
            </w:pPr>
            <w:r>
              <w:rPr>
                <w:rFonts w:ascii="Calibri" w:hAnsi="Calibri"/>
                <w:color w:val="1F2328"/>
                <w:sz w:val="20"/>
              </w:rPr>
              <w:t>Deduplication logic applied; 0 duplicates removed</w:t>
            </w:r>
          </w:p>
        </w:tc>
      </w:tr>
      <w:tr>
        <w:tc>
          <w:tcPr>
            <w:tcW w:type="dxa" w:w="2551"/>
            <w:shd w:val="clear" w:color="auto" w:fill="F7F8FA"/>
            <w:vAlign w:val="center"/>
          </w:tcPr>
          <w:p>
            <w:pPr>
              <w:jc w:val="center"/>
              <w:spacing w:before="0" w:after="40"/>
            </w:pPr>
            <w:r>
              <w:rPr>
                <w:rFonts w:ascii="Calibri" w:hAnsi="Calibri"/>
                <w:color w:val="1F2328"/>
                <w:sz w:val="20"/>
              </w:rPr>
              <w:t>SeniorCitizen as 0/1 integer</w:t>
            </w:r>
          </w:p>
        </w:tc>
        <w:tc>
          <w:tcPr>
            <w:tcW w:type="dxa" w:w="3118"/>
            <w:shd w:val="clear" w:color="auto" w:fill="F7F8FA"/>
            <w:vAlign w:val="center"/>
          </w:tcPr>
          <w:p>
            <w:pPr>
              <w:jc w:val="center"/>
              <w:spacing w:before="0" w:after="40"/>
            </w:pPr>
            <w:r>
              <w:rPr>
                <w:rFonts w:ascii="Calibri" w:hAnsi="Calibri"/>
                <w:color w:val="1F2328"/>
                <w:sz w:val="20"/>
              </w:rPr>
              <w:t>Binary flag, not labelled category</w:t>
            </w:r>
          </w:p>
        </w:tc>
        <w:tc>
          <w:tcPr>
            <w:tcW w:type="dxa" w:w="3402"/>
            <w:shd w:val="clear" w:color="auto" w:fill="F7F8FA"/>
            <w:vAlign w:val="center"/>
          </w:tcPr>
          <w:p>
            <w:pPr>
              <w:jc w:val="center"/>
              <w:spacing w:before="0" w:after="40"/>
            </w:pPr>
            <w:r>
              <w:rPr>
                <w:rFonts w:ascii="Calibri" w:hAnsi="Calibri"/>
                <w:color w:val="1F2328"/>
                <w:sz w:val="20"/>
              </w:rPr>
              <w:t>Retained for modelling; readable label created for EDA only (label excluded from predictors)</w:t>
            </w:r>
          </w:p>
        </w:tc>
      </w:tr>
      <w:tr>
        <w:tc>
          <w:tcPr>
            <w:tcW w:type="dxa" w:w="2551"/>
            <w:shd w:val="clear" w:color="auto" w:fill="FFFFFF"/>
            <w:vAlign w:val="center"/>
          </w:tcPr>
          <w:p>
            <w:pPr>
              <w:jc w:val="center"/>
              <w:spacing w:before="0" w:after="40"/>
            </w:pPr>
            <w:r>
              <w:rPr>
                <w:rFonts w:ascii="Calibri" w:hAnsi="Calibri"/>
                <w:color w:val="1F2328"/>
                <w:sz w:val="20"/>
              </w:rPr>
              <w:t>Zero-tenure / zero-charge customers</w:t>
            </w:r>
          </w:p>
        </w:tc>
        <w:tc>
          <w:tcPr>
            <w:tcW w:type="dxa" w:w="3118"/>
            <w:shd w:val="clear" w:color="auto" w:fill="FFFFFF"/>
            <w:vAlign w:val="center"/>
          </w:tcPr>
          <w:p>
            <w:pPr>
              <w:jc w:val="center"/>
              <w:spacing w:before="0" w:after="40"/>
            </w:pPr>
            <w:r>
              <w:rPr>
                <w:rFonts w:ascii="Calibri" w:hAnsi="Calibri"/>
                <w:color w:val="1F2328"/>
                <w:sz w:val="20"/>
              </w:rPr>
              <w:t>Genuine new activations</w:t>
            </w:r>
          </w:p>
        </w:tc>
        <w:tc>
          <w:tcPr>
            <w:tcW w:type="dxa" w:w="3402"/>
            <w:shd w:val="clear" w:color="auto" w:fill="FFFFFF"/>
            <w:vAlign w:val="center"/>
          </w:tcPr>
          <w:p>
            <w:pPr>
              <w:jc w:val="center"/>
              <w:spacing w:before="0" w:after="40"/>
            </w:pPr>
            <w:r>
              <w:rPr>
                <w:rFonts w:ascii="Calibri" w:hAnsi="Calibri"/>
                <w:color w:val="1F2328"/>
                <w:sz w:val="20"/>
              </w:rPr>
              <w:t>Preserved -- valid business records</w:t>
            </w:r>
          </w:p>
        </w:tc>
      </w:tr>
      <w:tr>
        <w:tc>
          <w:tcPr>
            <w:tcW w:type="dxa" w:w="2551"/>
            <w:shd w:val="clear" w:color="auto" w:fill="F7F8FA"/>
            <w:vAlign w:val="center"/>
          </w:tcPr>
          <w:p>
            <w:pPr>
              <w:jc w:val="center"/>
              <w:spacing w:before="0" w:after="40"/>
            </w:pPr>
            <w:r>
              <w:rPr>
                <w:rFonts w:ascii="Calibri" w:hAnsi="Calibri"/>
                <w:color w:val="1F2328"/>
                <w:sz w:val="20"/>
              </w:rPr>
              <w:t>Negative numeric values</w:t>
            </w:r>
          </w:p>
        </w:tc>
        <w:tc>
          <w:tcPr>
            <w:tcW w:type="dxa" w:w="3118"/>
            <w:shd w:val="clear" w:color="auto" w:fill="F7F8FA"/>
            <w:vAlign w:val="center"/>
          </w:tcPr>
          <w:p>
            <w:pPr>
              <w:jc w:val="center"/>
              <w:spacing w:before="0" w:after="40"/>
            </w:pPr>
            <w:r>
              <w:rPr>
                <w:rFonts w:ascii="Calibri" w:hAnsi="Calibri"/>
                <w:color w:val="1F2328"/>
                <w:sz w:val="20"/>
              </w:rPr>
              <w:t>None detected</w:t>
            </w:r>
          </w:p>
        </w:tc>
        <w:tc>
          <w:tcPr>
            <w:tcW w:type="dxa" w:w="3402"/>
            <w:shd w:val="clear" w:color="auto" w:fill="F7F8FA"/>
            <w:vAlign w:val="center"/>
          </w:tcPr>
          <w:p>
            <w:pPr>
              <w:jc w:val="center"/>
              <w:spacing w:before="0" w:after="40"/>
            </w:pPr>
            <w:r>
              <w:rPr>
                <w:rFonts w:ascii="Calibri" w:hAnsi="Calibri"/>
                <w:color w:val="1F2328"/>
                <w:sz w:val="20"/>
              </w:rPr>
              <w:t>Assertions confirmed all numeric fields &gt;= 0</w:t>
            </w:r>
          </w:p>
        </w:tc>
      </w:tr>
      <w:tr>
        <w:tc>
          <w:tcPr>
            <w:tcW w:type="dxa" w:w="2551"/>
            <w:shd w:val="clear" w:color="auto" w:fill="FFFFFF"/>
            <w:vAlign w:val="center"/>
          </w:tcPr>
          <w:p>
            <w:pPr>
              <w:jc w:val="center"/>
              <w:spacing w:before="0" w:after="40"/>
            </w:pPr>
            <w:r>
              <w:rPr>
                <w:rFonts w:ascii="Calibri" w:hAnsi="Calibri"/>
                <w:color w:val="1F2328"/>
                <w:sz w:val="20"/>
              </w:rPr>
              <w:t>Target encoding</w:t>
            </w:r>
          </w:p>
        </w:tc>
        <w:tc>
          <w:tcPr>
            <w:tcW w:type="dxa" w:w="3118"/>
            <w:shd w:val="clear" w:color="auto" w:fill="FFFFFF"/>
            <w:vAlign w:val="center"/>
          </w:tcPr>
          <w:p>
            <w:pPr>
              <w:jc w:val="center"/>
              <w:spacing w:before="0" w:after="40"/>
            </w:pPr>
            <w:r>
              <w:rPr>
                <w:rFonts w:ascii="Calibri" w:hAnsi="Calibri"/>
                <w:color w:val="1F2328"/>
                <w:sz w:val="20"/>
              </w:rPr>
              <w:t>String Yes/No</w:t>
            </w:r>
          </w:p>
        </w:tc>
        <w:tc>
          <w:tcPr>
            <w:tcW w:type="dxa" w:w="3402"/>
            <w:shd w:val="clear" w:color="auto" w:fill="FFFFFF"/>
            <w:vAlign w:val="center"/>
          </w:tcPr>
          <w:p>
            <w:pPr>
              <w:jc w:val="center"/>
              <w:spacing w:before="0" w:after="40"/>
            </w:pPr>
            <w:r>
              <w:rPr>
                <w:rFonts w:ascii="Calibri" w:hAnsi="Calibri"/>
                <w:color w:val="1F2328"/>
                <w:sz w:val="20"/>
              </w:rPr>
              <w:t>Encoded: Yes = 1, No = 0</w:t>
            </w:r>
          </w:p>
        </w:tc>
      </w:tr>
    </w:tbl>
    <w:p/>
    <w:p>
      <w:pPr>
        <w:spacing w:before="120" w:after="120"/>
        <w:pBdr>
          <w:bottom w:val="single" w:sz="6" w:space="1" w:color="1F2328"/>
        </w:pBdr>
      </w:pPr>
      <w:r>
        <w:rPr>
          <w:rFonts w:ascii="Calibri" w:hAnsi="Calibri"/>
          <w:b/>
          <w:color w:val="1F2328"/>
          <w:sz w:val="32"/>
        </w:rPr>
        <w:t>3.2  Preprocessing Pipeline</w:t>
      </w:r>
    </w:p>
    <w:tbl>
      <w:tblPr>
        <w:tblW w:type="auto" w:w="0"/>
        <w:jc w:val="left"/>
        <w:tblLook w:firstColumn="1" w:firstRow="1" w:lastColumn="0" w:lastRow="0" w:noHBand="0" w:noVBand="1" w:val="04A0"/>
      </w:tblPr>
      <w:tblGrid>
        <w:gridCol w:w="3120"/>
        <w:gridCol w:w="3120"/>
        <w:gridCol w:w="3120"/>
      </w:tblGrid>
      <w:tr>
        <w:tc>
          <w:tcPr>
            <w:tcW w:type="dxa" w:w="2268"/>
            <w:shd w:val="clear" w:color="auto" w:fill="1F2328"/>
            <w:vAlign w:val="center"/>
          </w:tcPr>
          <w:p>
            <w:pPr>
              <w:jc w:val="center"/>
              <w:spacing w:before="0" w:after="40"/>
            </w:pPr>
            <w:r>
              <w:rPr>
                <w:rFonts w:ascii="Calibri" w:hAnsi="Calibri"/>
                <w:b/>
                <w:color w:val="FFFFFF"/>
                <w:sz w:val="20"/>
              </w:rPr>
              <w:t>Component</w:t>
            </w:r>
          </w:p>
        </w:tc>
        <w:tc>
          <w:tcPr>
            <w:tcW w:type="dxa" w:w="3969"/>
            <w:shd w:val="clear" w:color="auto" w:fill="1F2328"/>
            <w:vAlign w:val="center"/>
          </w:tcPr>
          <w:p>
            <w:pPr>
              <w:jc w:val="center"/>
              <w:spacing w:before="0" w:after="40"/>
            </w:pPr>
            <w:r>
              <w:rPr>
                <w:rFonts w:ascii="Calibri" w:hAnsi="Calibri"/>
                <w:b/>
                <w:color w:val="FFFFFF"/>
                <w:sz w:val="20"/>
              </w:rPr>
              <w:t>Applied to</w:t>
            </w:r>
          </w:p>
        </w:tc>
        <w:tc>
          <w:tcPr>
            <w:tcW w:type="dxa" w:w="3118"/>
            <w:shd w:val="clear" w:color="auto" w:fill="1F2328"/>
            <w:vAlign w:val="center"/>
          </w:tcPr>
          <w:p>
            <w:pPr>
              <w:jc w:val="center"/>
              <w:spacing w:before="0" w:after="40"/>
            </w:pPr>
            <w:r>
              <w:rPr>
                <w:rFonts w:ascii="Calibri" w:hAnsi="Calibri"/>
                <w:b/>
                <w:color w:val="FFFFFF"/>
                <w:sz w:val="20"/>
              </w:rPr>
              <w:t>Detail</w:t>
            </w:r>
          </w:p>
        </w:tc>
      </w:tr>
      <w:tr>
        <w:tc>
          <w:tcPr>
            <w:tcW w:type="dxa" w:w="2268"/>
            <w:shd w:val="clear" w:color="auto" w:fill="FFFFFF"/>
            <w:vAlign w:val="center"/>
          </w:tcPr>
          <w:p>
            <w:pPr>
              <w:jc w:val="center"/>
              <w:spacing w:before="0" w:after="40"/>
            </w:pPr>
            <w:r>
              <w:rPr>
                <w:rFonts w:ascii="Calibri" w:hAnsi="Calibri"/>
                <w:color w:val="1F2328"/>
                <w:sz w:val="20"/>
              </w:rPr>
              <w:t>StandardScaler</w:t>
            </w:r>
          </w:p>
        </w:tc>
        <w:tc>
          <w:tcPr>
            <w:tcW w:type="dxa" w:w="3969"/>
            <w:shd w:val="clear" w:color="auto" w:fill="FFFFFF"/>
            <w:vAlign w:val="center"/>
          </w:tcPr>
          <w:p>
            <w:pPr>
              <w:jc w:val="center"/>
              <w:spacing w:before="0" w:after="40"/>
            </w:pPr>
            <w:r>
              <w:rPr>
                <w:rFonts w:ascii="Calibri" w:hAnsi="Calibri"/>
                <w:color w:val="1F2328"/>
                <w:sz w:val="20"/>
              </w:rPr>
              <w:t>4 numeric features: SeniorCitizen, tenure, MonthlyCharges, TotalCharges</w:t>
            </w:r>
          </w:p>
        </w:tc>
        <w:tc>
          <w:tcPr>
            <w:tcW w:type="dxa" w:w="3118"/>
            <w:shd w:val="clear" w:color="auto" w:fill="FFFFFF"/>
            <w:vAlign w:val="center"/>
          </w:tcPr>
          <w:p>
            <w:pPr>
              <w:jc w:val="center"/>
              <w:spacing w:before="0" w:after="40"/>
            </w:pPr>
            <w:r>
              <w:rPr>
                <w:rFonts w:ascii="Calibri" w:hAnsi="Calibri"/>
                <w:color w:val="1F2328"/>
                <w:sz w:val="20"/>
              </w:rPr>
              <w:t>Fitted on training split only</w:t>
            </w:r>
          </w:p>
        </w:tc>
      </w:tr>
      <w:tr>
        <w:tc>
          <w:tcPr>
            <w:tcW w:type="dxa" w:w="2268"/>
            <w:shd w:val="clear" w:color="auto" w:fill="F7F8FA"/>
            <w:vAlign w:val="center"/>
          </w:tcPr>
          <w:p>
            <w:pPr>
              <w:jc w:val="center"/>
              <w:spacing w:before="0" w:after="40"/>
            </w:pPr>
            <w:r>
              <w:rPr>
                <w:rFonts w:ascii="Calibri" w:hAnsi="Calibri"/>
                <w:color w:val="1F2328"/>
                <w:sz w:val="20"/>
              </w:rPr>
              <w:t>OneHotEncoder</w:t>
            </w:r>
          </w:p>
        </w:tc>
        <w:tc>
          <w:tcPr>
            <w:tcW w:type="dxa" w:w="3969"/>
            <w:shd w:val="clear" w:color="auto" w:fill="F7F8FA"/>
            <w:vAlign w:val="center"/>
          </w:tcPr>
          <w:p>
            <w:pPr>
              <w:jc w:val="center"/>
              <w:spacing w:before="0" w:after="40"/>
            </w:pPr>
            <w:r>
              <w:rPr>
                <w:rFonts w:ascii="Calibri" w:hAnsi="Calibri"/>
                <w:color w:val="1F2328"/>
                <w:sz w:val="20"/>
              </w:rPr>
              <w:t>15 categorical features (all nominal)</w:t>
            </w:r>
          </w:p>
        </w:tc>
        <w:tc>
          <w:tcPr>
            <w:tcW w:type="dxa" w:w="3118"/>
            <w:shd w:val="clear" w:color="auto" w:fill="F7F8FA"/>
            <w:vAlign w:val="center"/>
          </w:tcPr>
          <w:p>
            <w:pPr>
              <w:jc w:val="center"/>
              <w:spacing w:before="0" w:after="40"/>
            </w:pPr>
            <w:r>
              <w:rPr>
                <w:rFonts w:ascii="Calibri" w:hAnsi="Calibri"/>
                <w:color w:val="1F2328"/>
                <w:sz w:val="20"/>
              </w:rPr>
              <w:t>handle_unknown='ignore'; avoids false ordinal assumptions of LabelEncoder</w:t>
            </w:r>
          </w:p>
        </w:tc>
      </w:tr>
      <w:tr>
        <w:tc>
          <w:tcPr>
            <w:tcW w:type="dxa" w:w="2268"/>
            <w:shd w:val="clear" w:color="auto" w:fill="FFFFFF"/>
            <w:vAlign w:val="center"/>
          </w:tcPr>
          <w:p>
            <w:pPr>
              <w:jc w:val="center"/>
              <w:spacing w:before="0" w:after="40"/>
            </w:pPr>
            <w:r>
              <w:rPr>
                <w:rFonts w:ascii="Calibri" w:hAnsi="Calibri"/>
                <w:color w:val="1F2328"/>
                <w:sz w:val="20"/>
              </w:rPr>
              <w:t>ColumnTransformer</w:t>
            </w:r>
          </w:p>
        </w:tc>
        <w:tc>
          <w:tcPr>
            <w:tcW w:type="dxa" w:w="3969"/>
            <w:shd w:val="clear" w:color="auto" w:fill="FFFFFF"/>
            <w:vAlign w:val="center"/>
          </w:tcPr>
          <w:p>
            <w:pPr>
              <w:jc w:val="center"/>
              <w:spacing w:before="0" w:after="40"/>
            </w:pPr>
            <w:r>
              <w:rPr>
                <w:rFonts w:ascii="Calibri" w:hAnsi="Calibri"/>
                <w:color w:val="1F2328"/>
                <w:sz w:val="20"/>
              </w:rPr>
              <w:t>Both transformer groups</w:t>
            </w:r>
          </w:p>
        </w:tc>
        <w:tc>
          <w:tcPr>
            <w:tcW w:type="dxa" w:w="3118"/>
            <w:shd w:val="clear" w:color="auto" w:fill="FFFFFF"/>
            <w:vAlign w:val="center"/>
          </w:tcPr>
          <w:p>
            <w:pPr>
              <w:jc w:val="center"/>
              <w:spacing w:before="0" w:after="40"/>
            </w:pPr>
            <w:r>
              <w:rPr>
                <w:rFonts w:ascii="Calibri" w:hAnsi="Calibri"/>
                <w:color w:val="1F2328"/>
                <w:sz w:val="20"/>
              </w:rPr>
              <w:t>Combines num + cat pipelines</w:t>
            </w:r>
          </w:p>
        </w:tc>
      </w:tr>
      <w:tr>
        <w:tc>
          <w:tcPr>
            <w:tcW w:type="dxa" w:w="2268"/>
            <w:shd w:val="clear" w:color="auto" w:fill="F7F8FA"/>
            <w:vAlign w:val="center"/>
          </w:tcPr>
          <w:p>
            <w:pPr>
              <w:jc w:val="center"/>
              <w:spacing w:before="0" w:after="40"/>
            </w:pPr>
            <w:r>
              <w:rPr>
                <w:rFonts w:ascii="Calibri" w:hAnsi="Calibri"/>
                <w:color w:val="1F2328"/>
                <w:sz w:val="20"/>
              </w:rPr>
              <w:t>Pipeline</w:t>
            </w:r>
          </w:p>
        </w:tc>
        <w:tc>
          <w:tcPr>
            <w:tcW w:type="dxa" w:w="3969"/>
            <w:shd w:val="clear" w:color="auto" w:fill="F7F8FA"/>
            <w:vAlign w:val="center"/>
          </w:tcPr>
          <w:p>
            <w:pPr>
              <w:jc w:val="center"/>
              <w:spacing w:before="0" w:after="40"/>
            </w:pPr>
            <w:r>
              <w:rPr>
                <w:rFonts w:ascii="Calibri" w:hAnsi="Calibri"/>
                <w:color w:val="1F2328"/>
                <w:sz w:val="20"/>
              </w:rPr>
              <w:t>Full LR and RF models</w:t>
            </w:r>
          </w:p>
        </w:tc>
        <w:tc>
          <w:tcPr>
            <w:tcW w:type="dxa" w:w="3118"/>
            <w:shd w:val="clear" w:color="auto" w:fill="F7F8FA"/>
            <w:vAlign w:val="center"/>
          </w:tcPr>
          <w:p>
            <w:pPr>
              <w:jc w:val="center"/>
              <w:spacing w:before="0" w:after="40"/>
            </w:pPr>
            <w:r>
              <w:rPr>
                <w:rFonts w:ascii="Calibri" w:hAnsi="Calibri"/>
                <w:color w:val="1F2328"/>
                <w:sz w:val="20"/>
              </w:rPr>
              <w:t>Ensures preprocessor is fit only on training data; test set is transform-only</w:t>
            </w:r>
          </w:p>
        </w:tc>
      </w:tr>
    </w:tbl>
    <w:p/>
    <w:p>
      <w:pPr>
        <w:spacing w:before="120" w:after="120"/>
        <w:pBdr>
          <w:bottom w:val="single" w:sz="6" w:space="1" w:color="1F2328"/>
        </w:pBdr>
      </w:pPr>
      <w:r>
        <w:rPr>
          <w:rFonts w:ascii="Calibri" w:hAnsi="Calibri"/>
          <w:b/>
          <w:color w:val="1F2328"/>
          <w:sz w:val="32"/>
        </w:rPr>
        <w:t>3.3  Leakage Prevention</w:t>
      </w:r>
    </w:p>
    <w:p>
      <w:pPr>
        <w:pStyle w:val="ListBullet"/>
        <w:spacing w:before="0" w:after="60"/>
      </w:pPr>
      <w:r>
        <w:rPr>
          <w:rFonts w:ascii="Calibri" w:hAnsi="Calibri"/>
          <w:b/>
          <w:color w:val="1F2328"/>
          <w:sz w:val="21"/>
        </w:rPr>
        <w:t xml:space="preserve">Dropped:  </w:t>
      </w:r>
      <w:r>
        <w:rPr>
          <w:rFonts w:ascii="Calibri" w:hAnsi="Calibri"/>
          <w:color w:val="1F2328"/>
          <w:sz w:val="21"/>
        </w:rPr>
        <w:t>customerID  -- raw identifier; excluded from all feature sets.</w:t>
      </w:r>
    </w:p>
    <w:p>
      <w:pPr>
        <w:pStyle w:val="ListBullet"/>
        <w:spacing w:before="0" w:after="60"/>
      </w:pPr>
      <w:r>
        <w:rPr>
          <w:rFonts w:ascii="Calibri" w:hAnsi="Calibri"/>
          <w:b/>
          <w:color w:val="1F2328"/>
          <w:sz w:val="21"/>
        </w:rPr>
        <w:t xml:space="preserve">Dropped:  </w:t>
      </w:r>
      <w:r>
        <w:rPr>
          <w:rFonts w:ascii="Calibri" w:hAnsi="Calibri"/>
          <w:color w:val="1F2328"/>
          <w:sz w:val="21"/>
        </w:rPr>
        <w:t>SeniorCitizenLabel  -- EDA-only derived column; excluded from predictors.</w:t>
      </w:r>
    </w:p>
    <w:p>
      <w:pPr>
        <w:pStyle w:val="ListBullet"/>
        <w:spacing w:before="0" w:after="60"/>
      </w:pPr>
      <w:r>
        <w:rPr>
          <w:rFonts w:ascii="Calibri" w:hAnsi="Calibri"/>
          <w:b/>
          <w:color w:val="1F2328"/>
          <w:sz w:val="21"/>
        </w:rPr>
        <w:t xml:space="preserve">Dropped:  </w:t>
      </w:r>
      <w:r>
        <w:rPr>
          <w:rFonts w:ascii="Calibri" w:hAnsi="Calibri"/>
          <w:color w:val="1F2328"/>
          <w:sz w:val="21"/>
        </w:rPr>
        <w:t>Churn  -- target variable; excluded from features.</w:t>
      </w:r>
    </w:p>
    <w:p>
      <w:pPr>
        <w:pStyle w:val="ListBullet"/>
        <w:spacing w:before="0" w:after="60"/>
      </w:pPr>
      <w:r>
        <w:rPr>
          <w:rFonts w:ascii="Calibri" w:hAnsi="Calibri"/>
          <w:b/>
          <w:color w:val="1F2328"/>
          <w:sz w:val="21"/>
        </w:rPr>
        <w:t xml:space="preserve">No leakage:  </w:t>
      </w:r>
      <w:r>
        <w:rPr>
          <w:rFonts w:ascii="Calibri" w:hAnsi="Calibri"/>
          <w:color w:val="1F2328"/>
          <w:sz w:val="21"/>
        </w:rPr>
        <w:t>Preprocessor fitted exclusively on training split; test set transform-only.</w:t>
      </w:r>
    </w:p>
    <w:p>
      <w:r>
        <w:br w:type="page"/>
      </w:r>
    </w:p>
    <w:p>
      <w:pPr>
        <w:spacing w:before="120" w:after="120"/>
        <w:pBdr>
          <w:bottom w:val="single" w:sz="6" w:space="1" w:color="3B82D4"/>
        </w:pBdr>
      </w:pPr>
      <w:r>
        <w:rPr>
          <w:rFonts w:ascii="Calibri" w:hAnsi="Calibri"/>
          <w:b/>
          <w:color w:val="3B82D4"/>
          <w:sz w:val="44"/>
        </w:rPr>
        <w:t>4.  Exploratory Data Analysis  (Tiers 1 &amp; 2)</w:t>
      </w:r>
    </w:p>
    <w:p>
      <w:pPr>
        <w:spacing w:before="120" w:after="120"/>
        <w:pBdr>
          <w:bottom w:val="single" w:sz="6" w:space="1" w:color="1F2328"/>
        </w:pBdr>
      </w:pPr>
      <w:r>
        <w:rPr>
          <w:rFonts w:ascii="Calibri" w:hAnsi="Calibri"/>
          <w:b/>
          <w:color w:val="1F2328"/>
          <w:sz w:val="32"/>
        </w:rPr>
        <w:t>4.1  Churn Distribution</w:t>
      </w:r>
    </w:p>
    <w:p>
      <w:pPr>
        <w:jc w:val="center"/>
      </w:pPr>
      <w:r>
        <w:drawing>
          <wp:inline xmlns:a="http://schemas.openxmlformats.org/drawingml/2006/main" xmlns:pic="http://schemas.openxmlformats.org/drawingml/2006/picture">
            <wp:extent cx="5400000" cy="2277391"/>
            <wp:docPr id="1" name="Picture 1"/>
            <wp:cNvGraphicFramePr>
              <a:graphicFrameLocks noChangeAspect="1"/>
            </wp:cNvGraphicFramePr>
            <a:graphic>
              <a:graphicData uri="http://schemas.openxmlformats.org/drawingml/2006/picture">
                <pic:pic>
                  <pic:nvPicPr>
                    <pic:cNvPr id="0" name="chart1_churn_dist.png"/>
                    <pic:cNvPicPr/>
                  </pic:nvPicPr>
                  <pic:blipFill>
                    <a:blip r:embed="rId9"/>
                    <a:stretch>
                      <a:fillRect/>
                    </a:stretch>
                  </pic:blipFill>
                  <pic:spPr>
                    <a:xfrm>
                      <a:off x="0" y="0"/>
                      <a:ext cx="5400000" cy="2277391"/>
                    </a:xfrm>
                    <a:prstGeom prst="rect"/>
                  </pic:spPr>
                </pic:pic>
              </a:graphicData>
            </a:graphic>
          </wp:inline>
        </w:drawing>
      </w:r>
    </w:p>
    <w:p>
      <w:pPr>
        <w:jc w:val="center"/>
        <w:spacing w:before="40" w:after="160"/>
      </w:pPr>
      <w:r>
        <w:rPr>
          <w:rFonts w:ascii="Calibri" w:hAnsi="Calibri"/>
          <w:i/>
          <w:color w:val="57606A"/>
          <w:sz w:val="18"/>
        </w:rPr>
        <w:t>Figure 1. Churn count and proportion across the full customer base.</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Observation (Descriptive):  </w:t>
            </w:r>
            <w:r>
              <w:rPr>
                <w:rFonts w:ascii="Calibri" w:hAnsi="Calibri"/>
                <w:color w:val="1F2328"/>
                <w:sz w:val="21"/>
              </w:rPr>
              <w:t>26.5% of customers churned (1,869 / 7,043). The ~74/26 class imbalance makes raw accuracy a misleading evaluation metric. A naive classifier predicting 'no churn' achieves 73.5% accuracy while being commercially useless. All models are evaluated on ROC-AUC and Recall.</w:t>
            </w:r>
          </w:p>
        </w:tc>
      </w:tr>
    </w:tbl>
    <w:p/>
    <w:p>
      <w:pPr>
        <w:spacing w:before="120" w:after="120"/>
        <w:pBdr>
          <w:bottom w:val="single" w:sz="6" w:space="1" w:color="1F2328"/>
        </w:pBdr>
      </w:pPr>
      <w:r>
        <w:rPr>
          <w:rFonts w:ascii="Calibri" w:hAnsi="Calibri"/>
          <w:b/>
          <w:color w:val="1F2328"/>
          <w:sz w:val="32"/>
        </w:rPr>
        <w:t>4.2  Churn by Contract Type</w:t>
      </w:r>
    </w:p>
    <w:p>
      <w:pPr>
        <w:jc w:val="center"/>
      </w:pPr>
      <w:r>
        <w:drawing>
          <wp:inline xmlns:a="http://schemas.openxmlformats.org/drawingml/2006/main" xmlns:pic="http://schemas.openxmlformats.org/drawingml/2006/picture">
            <wp:extent cx="5400000" cy="2369346"/>
            <wp:docPr id="2" name="Picture 2"/>
            <wp:cNvGraphicFramePr>
              <a:graphicFrameLocks noChangeAspect="1"/>
            </wp:cNvGraphicFramePr>
            <a:graphic>
              <a:graphicData uri="http://schemas.openxmlformats.org/drawingml/2006/picture">
                <pic:pic>
                  <pic:nvPicPr>
                    <pic:cNvPr id="0" name="chart2_contract.png"/>
                    <pic:cNvPicPr/>
                  </pic:nvPicPr>
                  <pic:blipFill>
                    <a:blip r:embed="rId10"/>
                    <a:stretch>
                      <a:fillRect/>
                    </a:stretch>
                  </pic:blipFill>
                  <pic:spPr>
                    <a:xfrm>
                      <a:off x="0" y="0"/>
                      <a:ext cx="5400000" cy="2369346"/>
                    </a:xfrm>
                    <a:prstGeom prst="rect"/>
                  </pic:spPr>
                </pic:pic>
              </a:graphicData>
            </a:graphic>
          </wp:inline>
        </w:drawing>
      </w:r>
    </w:p>
    <w:p>
      <w:pPr>
        <w:jc w:val="center"/>
        <w:spacing w:before="40" w:after="160"/>
      </w:pPr>
      <w:r>
        <w:rPr>
          <w:rFonts w:ascii="Calibri" w:hAnsi="Calibri"/>
          <w:i/>
          <w:color w:val="57606A"/>
          <w:sz w:val="18"/>
        </w:rPr>
        <w:t>Figure 2. Churn rate by contract type.</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Diagnostic insight:  </w:t>
            </w:r>
            <w:r>
              <w:rPr>
                <w:rFonts w:ascii="Calibri" w:hAnsi="Calibri"/>
                <w:color w:val="1F2328"/>
                <w:sz w:val="21"/>
              </w:rPr>
              <w:t>Month-to-month: 42.7% churn. One-year: 11.3%. Two-year: 2.8%. The step-down pattern is consistent with switching cost theory. However, customers who self-select into longer contracts may already exhibit lower churn propensity (selection bias). Causality cannot be inferred from this observational data; a randomised contract-upgrade experiment would be required.</w:t>
            </w:r>
          </w:p>
        </w:tc>
      </w:tr>
    </w:tbl>
    <w:p/>
    <w:p>
      <w:pPr>
        <w:spacing w:before="120" w:after="120"/>
        <w:pBdr>
          <w:bottom w:val="single" w:sz="6" w:space="1" w:color="1F2328"/>
        </w:pBdr>
      </w:pPr>
      <w:r>
        <w:rPr>
          <w:rFonts w:ascii="Calibri" w:hAnsi="Calibri"/>
          <w:b/>
          <w:color w:val="1F2328"/>
          <w:sz w:val="32"/>
        </w:rPr>
        <w:t>4.3  Tenure Distribution by Churn Status</w:t>
      </w:r>
    </w:p>
    <w:p>
      <w:pPr>
        <w:jc w:val="center"/>
      </w:pPr>
      <w:r>
        <w:drawing>
          <wp:inline xmlns:a="http://schemas.openxmlformats.org/drawingml/2006/main" xmlns:pic="http://schemas.openxmlformats.org/drawingml/2006/picture">
            <wp:extent cx="5400000" cy="2125067"/>
            <wp:docPr id="3" name="Picture 3"/>
            <wp:cNvGraphicFramePr>
              <a:graphicFrameLocks noChangeAspect="1"/>
            </wp:cNvGraphicFramePr>
            <a:graphic>
              <a:graphicData uri="http://schemas.openxmlformats.org/drawingml/2006/picture">
                <pic:pic>
                  <pic:nvPicPr>
                    <pic:cNvPr id="0" name="chart3_tenure.png"/>
                    <pic:cNvPicPr/>
                  </pic:nvPicPr>
                  <pic:blipFill>
                    <a:blip r:embed="rId11"/>
                    <a:stretch>
                      <a:fillRect/>
                    </a:stretch>
                  </pic:blipFill>
                  <pic:spPr>
                    <a:xfrm>
                      <a:off x="0" y="0"/>
                      <a:ext cx="5400000" cy="2125067"/>
                    </a:xfrm>
                    <a:prstGeom prst="rect"/>
                  </pic:spPr>
                </pic:pic>
              </a:graphicData>
            </a:graphic>
          </wp:inline>
        </w:drawing>
      </w:r>
    </w:p>
    <w:p>
      <w:pPr>
        <w:jc w:val="center"/>
        <w:spacing w:before="40" w:after="160"/>
      </w:pPr>
      <w:r>
        <w:rPr>
          <w:rFonts w:ascii="Calibri" w:hAnsi="Calibri"/>
          <w:i/>
          <w:color w:val="57606A"/>
          <w:sz w:val="18"/>
        </w:rPr>
        <w:t>Figure 3. Tenure distribution for retained vs. churned customers.</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Observation (Descriptive):  </w:t>
            </w:r>
            <w:r>
              <w:rPr>
                <w:rFonts w:ascii="Calibri" w:hAnsi="Calibri"/>
                <w:color w:val="1F2328"/>
                <w:sz w:val="21"/>
              </w:rPr>
              <w:t>Churned customers cluster heavily in the 0-12 month range. Retained customers distribute more uniformly with concentration at 70+ months. The first 12 months represent the highest-risk churn window. Tenure is a strong correlate of retention but may proxy for unmeasured satisfaction; tenure alone does not cause loyalty.</w:t>
            </w:r>
          </w:p>
        </w:tc>
      </w:tr>
    </w:tbl>
    <w:p/>
    <w:p>
      <w:r>
        <w:br w:type="page"/>
      </w:r>
    </w:p>
    <w:p>
      <w:pPr>
        <w:spacing w:before="120" w:after="120"/>
        <w:pBdr>
          <w:bottom w:val="single" w:sz="6" w:space="1" w:color="1F2328"/>
        </w:pBdr>
      </w:pPr>
      <w:r>
        <w:rPr>
          <w:rFonts w:ascii="Calibri" w:hAnsi="Calibri"/>
          <w:b/>
          <w:color w:val="1F2328"/>
          <w:sz w:val="32"/>
        </w:rPr>
        <w:t>4.4  Monthly Charges vs. Tenure</w:t>
      </w:r>
    </w:p>
    <w:p>
      <w:pPr>
        <w:jc w:val="center"/>
      </w:pPr>
      <w:r>
        <w:drawing>
          <wp:inline xmlns:a="http://schemas.openxmlformats.org/drawingml/2006/main" xmlns:pic="http://schemas.openxmlformats.org/drawingml/2006/picture">
            <wp:extent cx="5400000" cy="2397978"/>
            <wp:docPr id="4" name="Picture 4"/>
            <wp:cNvGraphicFramePr>
              <a:graphicFrameLocks noChangeAspect="1"/>
            </wp:cNvGraphicFramePr>
            <a:graphic>
              <a:graphicData uri="http://schemas.openxmlformats.org/drawingml/2006/picture">
                <pic:pic>
                  <pic:nvPicPr>
                    <pic:cNvPr id="0" name="chart4_scatter.png"/>
                    <pic:cNvPicPr/>
                  </pic:nvPicPr>
                  <pic:blipFill>
                    <a:blip r:embed="rId12"/>
                    <a:stretch>
                      <a:fillRect/>
                    </a:stretch>
                  </pic:blipFill>
                  <pic:spPr>
                    <a:xfrm>
                      <a:off x="0" y="0"/>
                      <a:ext cx="5400000" cy="2397978"/>
                    </a:xfrm>
                    <a:prstGeom prst="rect"/>
                  </pic:spPr>
                </pic:pic>
              </a:graphicData>
            </a:graphic>
          </wp:inline>
        </w:drawing>
      </w:r>
    </w:p>
    <w:p>
      <w:pPr>
        <w:jc w:val="center"/>
        <w:spacing w:before="40" w:after="160"/>
      </w:pPr>
      <w:r>
        <w:rPr>
          <w:rFonts w:ascii="Calibri" w:hAnsi="Calibri"/>
          <w:i/>
          <w:color w:val="57606A"/>
          <w:sz w:val="18"/>
        </w:rPr>
        <w:t>Figure 4. Monthly charges vs. tenure, coloured by churn outcome.</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Diagnostic insight:  </w:t>
            </w:r>
            <w:r>
              <w:rPr>
                <w:rFonts w:ascii="Calibri" w:hAnsi="Calibri"/>
                <w:color w:val="1F2328"/>
                <w:sz w:val="21"/>
              </w:rPr>
              <w:t>Churned customers concentrate in the upper-left quadrant -- high monthly charges and low tenure. Retained customers span all charge levels but dominate the right side. Fiber Optic service type (higher-priced) is a likely confounder. Multivariate modelling is required to disentangle effects. This scatter pattern cannot establish causation.</w:t>
            </w:r>
          </w:p>
        </w:tc>
      </w:tr>
    </w:tbl>
    <w:p/>
    <w:p>
      <w:pPr>
        <w:spacing w:before="120" w:after="120"/>
        <w:pBdr>
          <w:bottom w:val="single" w:sz="6" w:space="1" w:color="1F2328"/>
        </w:pBdr>
      </w:pPr>
      <w:r>
        <w:rPr>
          <w:rFonts w:ascii="Calibri" w:hAnsi="Calibri"/>
          <w:b/>
          <w:color w:val="1F2328"/>
          <w:sz w:val="32"/>
        </w:rPr>
        <w:t>4.5  Churn by Internet Service x Senior Citizen Cohort</w:t>
      </w:r>
    </w:p>
    <w:p>
      <w:pPr>
        <w:jc w:val="center"/>
      </w:pPr>
      <w:r>
        <w:drawing>
          <wp:inline xmlns:a="http://schemas.openxmlformats.org/drawingml/2006/main" xmlns:pic="http://schemas.openxmlformats.org/drawingml/2006/picture">
            <wp:extent cx="5400000" cy="2390701"/>
            <wp:docPr id="5" name="Picture 5"/>
            <wp:cNvGraphicFramePr>
              <a:graphicFrameLocks noChangeAspect="1"/>
            </wp:cNvGraphicFramePr>
            <a:graphic>
              <a:graphicData uri="http://schemas.openxmlformats.org/drawingml/2006/picture">
                <pic:pic>
                  <pic:nvPicPr>
                    <pic:cNvPr id="0" name="chart5_cohort.png"/>
                    <pic:cNvPicPr/>
                  </pic:nvPicPr>
                  <pic:blipFill>
                    <a:blip r:embed="rId13"/>
                    <a:stretch>
                      <a:fillRect/>
                    </a:stretch>
                  </pic:blipFill>
                  <pic:spPr>
                    <a:xfrm>
                      <a:off x="0" y="0"/>
                      <a:ext cx="5400000" cy="2390701"/>
                    </a:xfrm>
                    <a:prstGeom prst="rect"/>
                  </pic:spPr>
                </pic:pic>
              </a:graphicData>
            </a:graphic>
          </wp:inline>
        </w:drawing>
      </w:r>
    </w:p>
    <w:p>
      <w:pPr>
        <w:jc w:val="center"/>
        <w:spacing w:before="40" w:after="160"/>
      </w:pPr>
      <w:r>
        <w:rPr>
          <w:rFonts w:ascii="Calibri" w:hAnsi="Calibri"/>
          <w:i/>
          <w:color w:val="57606A"/>
          <w:sz w:val="18"/>
        </w:rPr>
        <w:t>Figure 5. Churn rate by internet service type and senior citizen status.</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Diagnostic insight:  </w:t>
            </w:r>
            <w:r>
              <w:rPr>
                <w:rFonts w:ascii="Calibri" w:hAnsi="Calibri"/>
                <w:color w:val="1F2328"/>
                <w:sz w:val="21"/>
              </w:rPr>
              <w:t>Fiber Optic customers exhibit the highest churn rates across both cohorts (40%+). Senior Fiber Optic subscribers show the highest observed churn rate. This cohort likely faces compounded challenges: higher bills and potentially fewer switching inhibitors. This identifies correlation; A/B experiments are required to establish causal effects.</w:t>
            </w:r>
          </w:p>
        </w:tc>
      </w:tr>
    </w:tbl>
    <w:p/>
    <w:p>
      <w:r>
        <w:br w:type="page"/>
      </w:r>
    </w:p>
    <w:p>
      <w:pPr>
        <w:spacing w:before="120" w:after="120"/>
        <w:pBdr>
          <w:bottom w:val="single" w:sz="6" w:space="1" w:color="3B82D4"/>
        </w:pBdr>
      </w:pPr>
      <w:r>
        <w:rPr>
          <w:rFonts w:ascii="Calibri" w:hAnsi="Calibri"/>
          <w:b/>
          <w:color w:val="3B82D4"/>
          <w:sz w:val="44"/>
        </w:rPr>
        <w:t>5.  Predictive Modelling  (Tier 3)</w:t>
      </w:r>
    </w:p>
    <w:p>
      <w:pPr>
        <w:spacing w:before="120" w:after="120"/>
        <w:pBdr>
          <w:bottom w:val="single" w:sz="6" w:space="1" w:color="1F2328"/>
        </w:pBdr>
      </w:pPr>
      <w:r>
        <w:rPr>
          <w:rFonts w:ascii="Calibri" w:hAnsi="Calibri"/>
          <w:b/>
          <w:color w:val="1F2328"/>
          <w:sz w:val="32"/>
        </w:rPr>
        <w:t>5.1  Model Configuration</w:t>
      </w:r>
    </w:p>
    <w:tbl>
      <w:tblPr>
        <w:tblW w:type="auto" w:w="0"/>
        <w:jc w:val="left"/>
        <w:tblLook w:firstColumn="1" w:firstRow="1" w:lastColumn="0" w:lastRow="0" w:noHBand="0" w:noVBand="1" w:val="04A0"/>
      </w:tblPr>
      <w:tblGrid>
        <w:gridCol w:w="3120"/>
        <w:gridCol w:w="3120"/>
        <w:gridCol w:w="3120"/>
      </w:tblGrid>
      <w:tr>
        <w:tc>
          <w:tcPr>
            <w:tcW w:type="dxa" w:w="2551"/>
            <w:shd w:val="clear" w:color="auto" w:fill="1F2328"/>
            <w:vAlign w:val="center"/>
          </w:tcPr>
          <w:p>
            <w:pPr>
              <w:jc w:val="center"/>
              <w:spacing w:before="0" w:after="40"/>
            </w:pPr>
            <w:r>
              <w:rPr>
                <w:rFonts w:ascii="Calibri" w:hAnsi="Calibri"/>
                <w:b/>
                <w:color w:val="FFFFFF"/>
                <w:sz w:val="20"/>
              </w:rPr>
              <w:t>Parameter</w:t>
            </w:r>
          </w:p>
        </w:tc>
        <w:tc>
          <w:tcPr>
            <w:tcW w:type="dxa" w:w="3685"/>
            <w:shd w:val="clear" w:color="auto" w:fill="1F2328"/>
            <w:vAlign w:val="center"/>
          </w:tcPr>
          <w:p>
            <w:pPr>
              <w:jc w:val="center"/>
              <w:spacing w:before="0" w:after="40"/>
            </w:pPr>
            <w:r>
              <w:rPr>
                <w:rFonts w:ascii="Calibri" w:hAnsi="Calibri"/>
                <w:b/>
                <w:color w:val="FFFFFF"/>
                <w:sz w:val="20"/>
              </w:rPr>
              <w:t>Logistic Regression</w:t>
            </w:r>
          </w:p>
        </w:tc>
        <w:tc>
          <w:tcPr>
            <w:tcW w:type="dxa" w:w="3118"/>
            <w:shd w:val="clear" w:color="auto" w:fill="1F2328"/>
            <w:vAlign w:val="center"/>
          </w:tcPr>
          <w:p>
            <w:pPr>
              <w:jc w:val="center"/>
              <w:spacing w:before="0" w:after="40"/>
            </w:pPr>
            <w:r>
              <w:rPr>
                <w:rFonts w:ascii="Calibri" w:hAnsi="Calibri"/>
                <w:b/>
                <w:color w:val="FFFFFF"/>
                <w:sz w:val="20"/>
              </w:rPr>
              <w:t>Random Forest</w:t>
            </w:r>
          </w:p>
        </w:tc>
      </w:tr>
      <w:tr>
        <w:tc>
          <w:tcPr>
            <w:tcW w:type="dxa" w:w="2551"/>
            <w:shd w:val="clear" w:color="auto" w:fill="FFFFFF"/>
            <w:vAlign w:val="center"/>
          </w:tcPr>
          <w:p>
            <w:pPr>
              <w:jc w:val="center"/>
              <w:spacing w:before="0" w:after="40"/>
            </w:pPr>
            <w:r>
              <w:rPr>
                <w:rFonts w:ascii="Calibri" w:hAnsi="Calibri"/>
                <w:color w:val="1F2328"/>
                <w:sz w:val="20"/>
              </w:rPr>
              <w:t>Preprocessing</w:t>
            </w:r>
          </w:p>
        </w:tc>
        <w:tc>
          <w:tcPr>
            <w:tcW w:type="dxa" w:w="3685"/>
            <w:shd w:val="clear" w:color="auto" w:fill="FFFFFF"/>
            <w:vAlign w:val="center"/>
          </w:tcPr>
          <w:p>
            <w:pPr>
              <w:jc w:val="center"/>
              <w:spacing w:before="0" w:after="40"/>
            </w:pPr>
            <w:r>
              <w:rPr>
                <w:rFonts w:ascii="Calibri" w:hAnsi="Calibri"/>
                <w:color w:val="1F2328"/>
                <w:sz w:val="20"/>
              </w:rPr>
              <w:t>OneHotEncoder + StandardScaler (Pipeline)</w:t>
            </w:r>
          </w:p>
        </w:tc>
        <w:tc>
          <w:tcPr>
            <w:tcW w:type="dxa" w:w="3118"/>
            <w:shd w:val="clear" w:color="auto" w:fill="FFFFFF"/>
            <w:vAlign w:val="center"/>
          </w:tcPr>
          <w:p>
            <w:pPr>
              <w:jc w:val="center"/>
              <w:spacing w:before="0" w:after="40"/>
            </w:pPr>
            <w:r>
              <w:rPr>
                <w:rFonts w:ascii="Calibri" w:hAnsi="Calibri"/>
                <w:color w:val="1F2328"/>
                <w:sz w:val="20"/>
              </w:rPr>
              <w:t>OneHotEncoder + StandardScaler (Pipeline)</w:t>
            </w:r>
          </w:p>
        </w:tc>
      </w:tr>
      <w:tr>
        <w:tc>
          <w:tcPr>
            <w:tcW w:type="dxa" w:w="2551"/>
            <w:shd w:val="clear" w:color="auto" w:fill="F7F8FA"/>
            <w:vAlign w:val="center"/>
          </w:tcPr>
          <w:p>
            <w:pPr>
              <w:jc w:val="center"/>
              <w:spacing w:before="0" w:after="40"/>
            </w:pPr>
            <w:r>
              <w:rPr>
                <w:rFonts w:ascii="Calibri" w:hAnsi="Calibri"/>
                <w:color w:val="1F2328"/>
                <w:sz w:val="20"/>
              </w:rPr>
              <w:t>Class weighting</w:t>
            </w:r>
          </w:p>
        </w:tc>
        <w:tc>
          <w:tcPr>
            <w:tcW w:type="dxa" w:w="3685"/>
            <w:shd w:val="clear" w:color="auto" w:fill="F7F8FA"/>
            <w:vAlign w:val="center"/>
          </w:tcPr>
          <w:p>
            <w:pPr>
              <w:jc w:val="center"/>
              <w:spacing w:before="0" w:after="40"/>
            </w:pPr>
            <w:r>
              <w:rPr>
                <w:rFonts w:ascii="Calibri" w:hAnsi="Calibri"/>
                <w:color w:val="1F2328"/>
                <w:sz w:val="20"/>
              </w:rPr>
              <w:t>balanced</w:t>
            </w:r>
          </w:p>
        </w:tc>
        <w:tc>
          <w:tcPr>
            <w:tcW w:type="dxa" w:w="3118"/>
            <w:shd w:val="clear" w:color="auto" w:fill="F7F8FA"/>
            <w:vAlign w:val="center"/>
          </w:tcPr>
          <w:p>
            <w:pPr>
              <w:jc w:val="center"/>
              <w:spacing w:before="0" w:after="40"/>
            </w:pPr>
            <w:r>
              <w:rPr>
                <w:rFonts w:ascii="Calibri" w:hAnsi="Calibri"/>
                <w:color w:val="1F2328"/>
                <w:sz w:val="20"/>
              </w:rPr>
              <w:t>balanced</w:t>
            </w:r>
          </w:p>
        </w:tc>
      </w:tr>
      <w:tr>
        <w:tc>
          <w:tcPr>
            <w:tcW w:type="dxa" w:w="2551"/>
            <w:shd w:val="clear" w:color="auto" w:fill="FFFFFF"/>
            <w:vAlign w:val="center"/>
          </w:tcPr>
          <w:p>
            <w:pPr>
              <w:jc w:val="center"/>
              <w:spacing w:before="0" w:after="40"/>
            </w:pPr>
            <w:r>
              <w:rPr>
                <w:rFonts w:ascii="Calibri" w:hAnsi="Calibri"/>
                <w:color w:val="1F2328"/>
                <w:sz w:val="20"/>
              </w:rPr>
              <w:t>Key parameters</w:t>
            </w:r>
          </w:p>
        </w:tc>
        <w:tc>
          <w:tcPr>
            <w:tcW w:type="dxa" w:w="3685"/>
            <w:shd w:val="clear" w:color="auto" w:fill="FFFFFF"/>
            <w:vAlign w:val="center"/>
          </w:tcPr>
          <w:p>
            <w:pPr>
              <w:jc w:val="center"/>
              <w:spacing w:before="0" w:after="40"/>
            </w:pPr>
            <w:r>
              <w:rPr>
                <w:rFonts w:ascii="Calibri" w:hAnsi="Calibri"/>
                <w:color w:val="1F2328"/>
                <w:sz w:val="20"/>
              </w:rPr>
              <w:t>max_iter=1000</w:t>
            </w:r>
          </w:p>
        </w:tc>
        <w:tc>
          <w:tcPr>
            <w:tcW w:type="dxa" w:w="3118"/>
            <w:shd w:val="clear" w:color="auto" w:fill="FFFFFF"/>
            <w:vAlign w:val="center"/>
          </w:tcPr>
          <w:p>
            <w:pPr>
              <w:jc w:val="center"/>
              <w:spacing w:before="0" w:after="40"/>
            </w:pPr>
            <w:r>
              <w:rPr>
                <w:rFonts w:ascii="Calibri" w:hAnsi="Calibri"/>
                <w:color w:val="1F2328"/>
                <w:sz w:val="20"/>
              </w:rPr>
              <w:t>n_estimators=300, max_depth=12, min_samples_leaf=5</w:t>
            </w:r>
          </w:p>
        </w:tc>
      </w:tr>
      <w:tr>
        <w:tc>
          <w:tcPr>
            <w:tcW w:type="dxa" w:w="2551"/>
            <w:shd w:val="clear" w:color="auto" w:fill="F7F8FA"/>
            <w:vAlign w:val="center"/>
          </w:tcPr>
          <w:p>
            <w:pPr>
              <w:jc w:val="center"/>
              <w:spacing w:before="0" w:after="40"/>
            </w:pPr>
            <w:r>
              <w:rPr>
                <w:rFonts w:ascii="Calibri" w:hAnsi="Calibri"/>
                <w:color w:val="1F2328"/>
                <w:sz w:val="20"/>
              </w:rPr>
              <w:t>Train/Test split</w:t>
            </w:r>
          </w:p>
        </w:tc>
        <w:tc>
          <w:tcPr>
            <w:tcW w:type="dxa" w:w="3685"/>
            <w:shd w:val="clear" w:color="auto" w:fill="F7F8FA"/>
            <w:vAlign w:val="center"/>
          </w:tcPr>
          <w:p>
            <w:pPr>
              <w:jc w:val="center"/>
              <w:spacing w:before="0" w:after="40"/>
            </w:pPr>
            <w:r>
              <w:rPr>
                <w:rFonts w:ascii="Calibri" w:hAnsi="Calibri"/>
                <w:color w:val="1F2328"/>
                <w:sz w:val="20"/>
              </w:rPr>
              <w:t>80% / 20% stratified</w:t>
            </w:r>
          </w:p>
        </w:tc>
        <w:tc>
          <w:tcPr>
            <w:tcW w:type="dxa" w:w="3118"/>
            <w:shd w:val="clear" w:color="auto" w:fill="F7F8FA"/>
            <w:vAlign w:val="center"/>
          </w:tcPr>
          <w:p>
            <w:pPr>
              <w:jc w:val="center"/>
              <w:spacing w:before="0" w:after="40"/>
            </w:pPr>
            <w:r>
              <w:rPr>
                <w:rFonts w:ascii="Calibri" w:hAnsi="Calibri"/>
                <w:color w:val="1F2328"/>
                <w:sz w:val="20"/>
              </w:rPr>
              <w:t>80% / 20% stratified</w:t>
            </w:r>
          </w:p>
        </w:tc>
      </w:tr>
      <w:tr>
        <w:tc>
          <w:tcPr>
            <w:tcW w:type="dxa" w:w="2551"/>
            <w:shd w:val="clear" w:color="auto" w:fill="FFFFFF"/>
            <w:vAlign w:val="center"/>
          </w:tcPr>
          <w:p>
            <w:pPr>
              <w:jc w:val="center"/>
              <w:spacing w:before="0" w:after="40"/>
            </w:pPr>
            <w:r>
              <w:rPr>
                <w:rFonts w:ascii="Calibri" w:hAnsi="Calibri"/>
                <w:color w:val="1F2328"/>
                <w:sz w:val="20"/>
              </w:rPr>
              <w:t>Random seed</w:t>
            </w:r>
          </w:p>
        </w:tc>
        <w:tc>
          <w:tcPr>
            <w:tcW w:type="dxa" w:w="3685"/>
            <w:shd w:val="clear" w:color="auto" w:fill="FFFFFF"/>
            <w:vAlign w:val="center"/>
          </w:tcPr>
          <w:p>
            <w:pPr>
              <w:jc w:val="center"/>
              <w:spacing w:before="0" w:after="40"/>
            </w:pPr>
            <w:r>
              <w:rPr>
                <w:rFonts w:ascii="Calibri" w:hAnsi="Calibri"/>
                <w:color w:val="1F2328"/>
                <w:sz w:val="20"/>
              </w:rPr>
              <w:t>42</w:t>
            </w:r>
          </w:p>
        </w:tc>
        <w:tc>
          <w:tcPr>
            <w:tcW w:type="dxa" w:w="3118"/>
            <w:shd w:val="clear" w:color="auto" w:fill="FFFFFF"/>
            <w:vAlign w:val="center"/>
          </w:tcPr>
          <w:p>
            <w:pPr>
              <w:jc w:val="center"/>
              <w:spacing w:before="0" w:after="40"/>
            </w:pPr>
            <w:r>
              <w:rPr>
                <w:rFonts w:ascii="Calibri" w:hAnsi="Calibri"/>
                <w:color w:val="1F2328"/>
                <w:sz w:val="20"/>
              </w:rPr>
              <w:t>42</w:t>
            </w:r>
          </w:p>
        </w:tc>
      </w:tr>
    </w:tbl>
    <w:p/>
    <w:p>
      <w:pPr>
        <w:spacing w:before="120" w:after="120"/>
        <w:pBdr>
          <w:bottom w:val="single" w:sz="6" w:space="1" w:color="1F2328"/>
        </w:pBdr>
      </w:pPr>
      <w:r>
        <w:rPr>
          <w:rFonts w:ascii="Calibri" w:hAnsi="Calibri"/>
          <w:b/>
          <w:color w:val="1F2328"/>
          <w:sz w:val="32"/>
        </w:rPr>
        <w:t>5.2  Model Evaluation  (Held-out 20% Test Set)</w:t>
      </w:r>
    </w:p>
    <w:p>
      <w:pPr>
        <w:spacing w:before="0" w:after="80"/>
      </w:pPr>
      <w:r>
        <w:rPr>
          <w:rFonts w:ascii="Calibri" w:hAnsi="Calibri"/>
          <w:i w:val="0"/>
          <w:color w:val="1F2328"/>
          <w:sz w:val="21"/>
        </w:rPr>
        <w:t>All figures below are computed from actual dataset execution. No values are hardcoded or approximated.</w:t>
      </w:r>
    </w:p>
    <w:p/>
    <w:tbl>
      <w:tblPr>
        <w:tblW w:type="auto" w:w="0"/>
        <w:jc w:val="left"/>
        <w:tblLook w:firstColumn="1" w:firstRow="1" w:lastColumn="0" w:lastRow="0" w:noHBand="0" w:noVBand="1" w:val="04A0"/>
      </w:tblPr>
      <w:tblGrid>
        <w:gridCol w:w="2340"/>
        <w:gridCol w:w="2340"/>
        <w:gridCol w:w="2340"/>
        <w:gridCol w:w="2340"/>
      </w:tblGrid>
      <w:tr>
        <w:tc>
          <w:tcPr>
            <w:tcW w:type="dxa" w:w="2268"/>
            <w:shd w:val="clear" w:color="auto" w:fill="1F2328"/>
            <w:vAlign w:val="center"/>
          </w:tcPr>
          <w:p>
            <w:pPr>
              <w:jc w:val="center"/>
              <w:spacing w:before="0" w:after="40"/>
            </w:pPr>
            <w:r>
              <w:rPr>
                <w:rFonts w:ascii="Calibri" w:hAnsi="Calibri"/>
                <w:b/>
                <w:color w:val="FFFFFF"/>
                <w:sz w:val="20"/>
              </w:rPr>
              <w:t>Metric</w:t>
            </w:r>
          </w:p>
        </w:tc>
        <w:tc>
          <w:tcPr>
            <w:tcW w:type="dxa" w:w="2551"/>
            <w:shd w:val="clear" w:color="auto" w:fill="1F2328"/>
            <w:vAlign w:val="center"/>
          </w:tcPr>
          <w:p>
            <w:pPr>
              <w:jc w:val="center"/>
              <w:spacing w:before="0" w:after="40"/>
            </w:pPr>
            <w:r>
              <w:rPr>
                <w:rFonts w:ascii="Calibri" w:hAnsi="Calibri"/>
                <w:b/>
                <w:color w:val="FFFFFF"/>
                <w:sz w:val="20"/>
              </w:rPr>
              <w:t>Logistic Regression</w:t>
            </w:r>
          </w:p>
        </w:tc>
        <w:tc>
          <w:tcPr>
            <w:tcW w:type="dxa" w:w="2551"/>
            <w:shd w:val="clear" w:color="auto" w:fill="1F2328"/>
            <w:vAlign w:val="center"/>
          </w:tcPr>
          <w:p>
            <w:pPr>
              <w:jc w:val="center"/>
              <w:spacing w:before="0" w:after="40"/>
            </w:pPr>
            <w:r>
              <w:rPr>
                <w:rFonts w:ascii="Calibri" w:hAnsi="Calibri"/>
                <w:b/>
                <w:color w:val="FFFFFF"/>
                <w:sz w:val="20"/>
              </w:rPr>
              <w:t>Random Forest</w:t>
            </w:r>
          </w:p>
        </w:tc>
        <w:tc>
          <w:tcPr>
            <w:tcW w:type="dxa" w:w="2268"/>
            <w:shd w:val="clear" w:color="auto" w:fill="1F2328"/>
            <w:vAlign w:val="center"/>
          </w:tcPr>
          <w:p>
            <w:pPr>
              <w:jc w:val="center"/>
              <w:spacing w:before="0" w:after="40"/>
            </w:pPr>
            <w:r>
              <w:rPr>
                <w:rFonts w:ascii="Calibri" w:hAnsi="Calibri"/>
                <w:b/>
                <w:color w:val="FFFFFF"/>
                <w:sz w:val="20"/>
              </w:rPr>
              <w:t>Winner</w:t>
            </w:r>
          </w:p>
        </w:tc>
      </w:tr>
      <w:tr>
        <w:tc>
          <w:tcPr>
            <w:tcW w:type="dxa" w:w="2268"/>
            <w:shd w:val="clear" w:color="auto" w:fill="FFFFFF"/>
            <w:vAlign w:val="center"/>
          </w:tcPr>
          <w:p>
            <w:pPr>
              <w:jc w:val="center"/>
              <w:spacing w:before="0" w:after="40"/>
            </w:pPr>
            <w:r>
              <w:rPr>
                <w:rFonts w:ascii="Calibri" w:hAnsi="Calibri"/>
                <w:color w:val="1F2328"/>
                <w:sz w:val="20"/>
              </w:rPr>
              <w:t>Accuracy</w:t>
            </w:r>
          </w:p>
        </w:tc>
        <w:tc>
          <w:tcPr>
            <w:tcW w:type="dxa" w:w="2551"/>
            <w:shd w:val="clear" w:color="auto" w:fill="FFFFFF"/>
            <w:vAlign w:val="center"/>
          </w:tcPr>
          <w:p>
            <w:pPr>
              <w:jc w:val="center"/>
              <w:spacing w:before="0" w:after="40"/>
            </w:pPr>
            <w:r>
              <w:rPr>
                <w:rFonts w:ascii="Calibri" w:hAnsi="Calibri"/>
                <w:color w:val="1F2328"/>
                <w:sz w:val="20"/>
              </w:rPr>
              <w:t>73.8%</w:t>
            </w:r>
          </w:p>
        </w:tc>
        <w:tc>
          <w:tcPr>
            <w:tcW w:type="dxa" w:w="2551"/>
            <w:shd w:val="clear" w:color="auto" w:fill="FFFFFF"/>
            <w:vAlign w:val="center"/>
          </w:tcPr>
          <w:p>
            <w:pPr>
              <w:jc w:val="center"/>
              <w:spacing w:before="0" w:after="40"/>
            </w:pPr>
            <w:r>
              <w:rPr>
                <w:rFonts w:ascii="Calibri" w:hAnsi="Calibri"/>
                <w:color w:val="1F2328"/>
                <w:sz w:val="20"/>
              </w:rPr>
              <w:t>75.7%</w:t>
            </w:r>
          </w:p>
        </w:tc>
        <w:tc>
          <w:tcPr>
            <w:tcW w:type="dxa" w:w="2268"/>
            <w:shd w:val="clear" w:color="auto" w:fill="FFFFFF"/>
            <w:vAlign w:val="center"/>
          </w:tcPr>
          <w:p>
            <w:pPr>
              <w:jc w:val="center"/>
              <w:spacing w:before="0" w:after="40"/>
            </w:pPr>
            <w:r>
              <w:rPr>
                <w:rFonts w:ascii="Calibri" w:hAnsi="Calibri"/>
                <w:color w:val="1F2328"/>
                <w:sz w:val="20"/>
              </w:rPr>
              <w:t>Random Forest</w:t>
            </w:r>
          </w:p>
        </w:tc>
      </w:tr>
      <w:tr>
        <w:tc>
          <w:tcPr>
            <w:tcW w:type="dxa" w:w="2268"/>
            <w:shd w:val="clear" w:color="auto" w:fill="F7F8FA"/>
            <w:vAlign w:val="center"/>
          </w:tcPr>
          <w:p>
            <w:pPr>
              <w:jc w:val="center"/>
              <w:spacing w:before="0" w:after="40"/>
            </w:pPr>
            <w:r>
              <w:rPr>
                <w:rFonts w:ascii="Calibri" w:hAnsi="Calibri"/>
                <w:color w:val="1F2328"/>
                <w:sz w:val="20"/>
              </w:rPr>
              <w:t>Precision</w:t>
            </w:r>
          </w:p>
        </w:tc>
        <w:tc>
          <w:tcPr>
            <w:tcW w:type="dxa" w:w="2551"/>
            <w:shd w:val="clear" w:color="auto" w:fill="F7F8FA"/>
            <w:vAlign w:val="center"/>
          </w:tcPr>
          <w:p>
            <w:pPr>
              <w:jc w:val="center"/>
              <w:spacing w:before="0" w:after="40"/>
            </w:pPr>
            <w:r>
              <w:rPr>
                <w:rFonts w:ascii="Calibri" w:hAnsi="Calibri"/>
                <w:color w:val="1F2328"/>
                <w:sz w:val="20"/>
              </w:rPr>
              <w:t>50.4%</w:t>
            </w:r>
          </w:p>
        </w:tc>
        <w:tc>
          <w:tcPr>
            <w:tcW w:type="dxa" w:w="2551"/>
            <w:shd w:val="clear" w:color="auto" w:fill="F7F8FA"/>
            <w:vAlign w:val="center"/>
          </w:tcPr>
          <w:p>
            <w:pPr>
              <w:jc w:val="center"/>
              <w:spacing w:before="0" w:after="40"/>
            </w:pPr>
            <w:r>
              <w:rPr>
                <w:rFonts w:ascii="Calibri" w:hAnsi="Calibri"/>
                <w:color w:val="1F2328"/>
                <w:sz w:val="20"/>
              </w:rPr>
              <w:t>52.9%</w:t>
            </w:r>
          </w:p>
        </w:tc>
        <w:tc>
          <w:tcPr>
            <w:tcW w:type="dxa" w:w="2268"/>
            <w:shd w:val="clear" w:color="auto" w:fill="F7F8FA"/>
            <w:vAlign w:val="center"/>
          </w:tcPr>
          <w:p>
            <w:pPr>
              <w:jc w:val="center"/>
              <w:spacing w:before="0" w:after="40"/>
            </w:pPr>
            <w:r>
              <w:rPr>
                <w:rFonts w:ascii="Calibri" w:hAnsi="Calibri"/>
                <w:color w:val="1F2328"/>
                <w:sz w:val="20"/>
              </w:rPr>
              <w:t>Random Forest</w:t>
            </w:r>
          </w:p>
        </w:tc>
      </w:tr>
      <w:tr>
        <w:tc>
          <w:tcPr>
            <w:tcW w:type="dxa" w:w="2268"/>
            <w:shd w:val="clear" w:color="auto" w:fill="FFFFFF"/>
            <w:vAlign w:val="center"/>
          </w:tcPr>
          <w:p>
            <w:pPr>
              <w:jc w:val="center"/>
              <w:spacing w:before="0" w:after="40"/>
            </w:pPr>
            <w:r>
              <w:rPr>
                <w:rFonts w:ascii="Calibri" w:hAnsi="Calibri"/>
                <w:color w:val="1F2328"/>
                <w:sz w:val="20"/>
              </w:rPr>
              <w:t>Recall</w:t>
            </w:r>
          </w:p>
        </w:tc>
        <w:tc>
          <w:tcPr>
            <w:tcW w:type="dxa" w:w="2551"/>
            <w:shd w:val="clear" w:color="auto" w:fill="FFFFFF"/>
            <w:vAlign w:val="center"/>
          </w:tcPr>
          <w:p>
            <w:pPr>
              <w:jc w:val="center"/>
              <w:spacing w:before="0" w:after="40"/>
            </w:pPr>
            <w:r>
              <w:rPr>
                <w:rFonts w:ascii="Calibri" w:hAnsi="Calibri"/>
                <w:color w:val="1F2328"/>
                <w:sz w:val="20"/>
              </w:rPr>
              <w:t>78.3%</w:t>
            </w:r>
          </w:p>
        </w:tc>
        <w:tc>
          <w:tcPr>
            <w:tcW w:type="dxa" w:w="2551"/>
            <w:shd w:val="clear" w:color="auto" w:fill="FFFFFF"/>
            <w:vAlign w:val="center"/>
          </w:tcPr>
          <w:p>
            <w:pPr>
              <w:jc w:val="center"/>
              <w:spacing w:before="0" w:after="40"/>
            </w:pPr>
            <w:r>
              <w:rPr>
                <w:rFonts w:ascii="Calibri" w:hAnsi="Calibri"/>
                <w:color w:val="1F2328"/>
                <w:sz w:val="20"/>
              </w:rPr>
              <w:t>77.0%</w:t>
            </w:r>
          </w:p>
        </w:tc>
        <w:tc>
          <w:tcPr>
            <w:tcW w:type="dxa" w:w="2268"/>
            <w:shd w:val="clear" w:color="auto" w:fill="FFFFFF"/>
            <w:vAlign w:val="center"/>
          </w:tcPr>
          <w:p>
            <w:pPr>
              <w:jc w:val="center"/>
              <w:spacing w:before="0" w:after="40"/>
            </w:pPr>
            <w:r>
              <w:rPr>
                <w:rFonts w:ascii="Calibri" w:hAnsi="Calibri"/>
                <w:color w:val="1F2328"/>
                <w:sz w:val="20"/>
              </w:rPr>
              <w:t>Logistic Regression</w:t>
            </w:r>
          </w:p>
        </w:tc>
      </w:tr>
      <w:tr>
        <w:tc>
          <w:tcPr>
            <w:tcW w:type="dxa" w:w="2268"/>
            <w:shd w:val="clear" w:color="auto" w:fill="F7F8FA"/>
            <w:vAlign w:val="center"/>
          </w:tcPr>
          <w:p>
            <w:pPr>
              <w:jc w:val="center"/>
              <w:spacing w:before="0" w:after="40"/>
            </w:pPr>
            <w:r>
              <w:rPr>
                <w:rFonts w:ascii="Calibri" w:hAnsi="Calibri"/>
                <w:color w:val="1F2328"/>
                <w:sz w:val="20"/>
              </w:rPr>
              <w:t>F1-Score</w:t>
            </w:r>
          </w:p>
        </w:tc>
        <w:tc>
          <w:tcPr>
            <w:tcW w:type="dxa" w:w="2551"/>
            <w:shd w:val="clear" w:color="auto" w:fill="F7F8FA"/>
            <w:vAlign w:val="center"/>
          </w:tcPr>
          <w:p>
            <w:pPr>
              <w:jc w:val="center"/>
              <w:spacing w:before="0" w:after="40"/>
            </w:pPr>
            <w:r>
              <w:rPr>
                <w:rFonts w:ascii="Calibri" w:hAnsi="Calibri"/>
                <w:color w:val="1F2328"/>
                <w:sz w:val="20"/>
              </w:rPr>
              <w:t>61.4%</w:t>
            </w:r>
          </w:p>
        </w:tc>
        <w:tc>
          <w:tcPr>
            <w:tcW w:type="dxa" w:w="2551"/>
            <w:shd w:val="clear" w:color="auto" w:fill="F7F8FA"/>
            <w:vAlign w:val="center"/>
          </w:tcPr>
          <w:p>
            <w:pPr>
              <w:jc w:val="center"/>
              <w:spacing w:before="0" w:after="40"/>
            </w:pPr>
            <w:r>
              <w:rPr>
                <w:rFonts w:ascii="Calibri" w:hAnsi="Calibri"/>
                <w:color w:val="1F2328"/>
                <w:sz w:val="20"/>
              </w:rPr>
              <w:t>62.7%</w:t>
            </w:r>
          </w:p>
        </w:tc>
        <w:tc>
          <w:tcPr>
            <w:tcW w:type="dxa" w:w="2268"/>
            <w:shd w:val="clear" w:color="auto" w:fill="F7F8FA"/>
            <w:vAlign w:val="center"/>
          </w:tcPr>
          <w:p>
            <w:pPr>
              <w:jc w:val="center"/>
              <w:spacing w:before="0" w:after="40"/>
            </w:pPr>
            <w:r>
              <w:rPr>
                <w:rFonts w:ascii="Calibri" w:hAnsi="Calibri"/>
                <w:color w:val="1F2328"/>
                <w:sz w:val="20"/>
              </w:rPr>
              <w:t>Random Forest</w:t>
            </w:r>
          </w:p>
        </w:tc>
      </w:tr>
      <w:tr>
        <w:tc>
          <w:tcPr>
            <w:tcW w:type="dxa" w:w="2268"/>
            <w:shd w:val="clear" w:color="auto" w:fill="FFFFFF"/>
            <w:vAlign w:val="center"/>
          </w:tcPr>
          <w:p>
            <w:pPr>
              <w:jc w:val="center"/>
              <w:spacing w:before="0" w:after="40"/>
            </w:pPr>
            <w:r>
              <w:rPr>
                <w:rFonts w:ascii="Calibri" w:hAnsi="Calibri"/>
                <w:color w:val="1F2328"/>
                <w:sz w:val="20"/>
              </w:rPr>
              <w:t>ROC-AUC (primary)</w:t>
            </w:r>
          </w:p>
        </w:tc>
        <w:tc>
          <w:tcPr>
            <w:tcW w:type="dxa" w:w="2551"/>
            <w:shd w:val="clear" w:color="auto" w:fill="FFFFFF"/>
            <w:vAlign w:val="center"/>
          </w:tcPr>
          <w:p>
            <w:pPr>
              <w:jc w:val="center"/>
              <w:spacing w:before="0" w:after="40"/>
            </w:pPr>
            <w:r>
              <w:rPr>
                <w:rFonts w:ascii="Calibri" w:hAnsi="Calibri"/>
                <w:color w:val="1F2328"/>
                <w:sz w:val="20"/>
              </w:rPr>
              <w:t>0.8416</w:t>
            </w:r>
          </w:p>
        </w:tc>
        <w:tc>
          <w:tcPr>
            <w:tcW w:type="dxa" w:w="2551"/>
            <w:shd w:val="clear" w:color="auto" w:fill="FFFFFF"/>
            <w:vAlign w:val="center"/>
          </w:tcPr>
          <w:p>
            <w:pPr>
              <w:jc w:val="center"/>
              <w:spacing w:before="0" w:after="40"/>
            </w:pPr>
            <w:r>
              <w:rPr>
                <w:rFonts w:ascii="Calibri" w:hAnsi="Calibri"/>
                <w:color w:val="1F2328"/>
                <w:sz w:val="20"/>
              </w:rPr>
              <w:t>0.8411</w:t>
            </w:r>
          </w:p>
        </w:tc>
        <w:tc>
          <w:tcPr>
            <w:tcW w:type="dxa" w:w="2268"/>
            <w:shd w:val="clear" w:color="auto" w:fill="FFFFFF"/>
            <w:vAlign w:val="center"/>
          </w:tcPr>
          <w:p>
            <w:pPr>
              <w:jc w:val="center"/>
              <w:spacing w:before="0" w:after="40"/>
            </w:pPr>
            <w:r>
              <w:rPr>
                <w:rFonts w:ascii="Calibri" w:hAnsi="Calibri"/>
                <w:color w:val="1F2328"/>
                <w:sz w:val="20"/>
              </w:rPr>
              <w:t>Logistic Regression [WINNER]</w:t>
            </w:r>
          </w:p>
        </w:tc>
      </w:tr>
    </w:tbl>
    <w:p/>
    <w:tbl>
      <w:tblPr>
        <w:tblW w:type="auto" w:w="0"/>
        <w:jc w:val="left"/>
        <w:tblLook w:firstColumn="1" w:firstRow="1" w:lastColumn="0" w:lastRow="0" w:noHBand="0" w:noVBand="1" w:val="04A0"/>
      </w:tblPr>
      <w:tblGrid>
        <w:gridCol w:w="9360"/>
      </w:tblGrid>
      <w:tr>
        <w:tc>
          <w:tcPr>
            <w:tcW w:type="dxa" w:w="9360"/>
            <w:shd w:val="clear" w:color="auto" w:fill="EDFAF1"/>
            <w:tcBorders>
              <w:top w:val="single" w:sz="8" w:space="0" w:color="82D9A0"/>
              <w:bottom w:val="single" w:sz="8" w:space="0" w:color="82D9A0"/>
              <w:left w:val="single" w:sz="24" w:space="0" w:color="82D9A0"/>
              <w:right w:val="single" w:sz="8" w:space="0" w:color="82D9A0"/>
            </w:tcBorders>
          </w:tcPr>
          <w:p>
            <w:pPr>
              <w:jc w:val="left"/>
              <w:spacing w:before="60" w:after="60"/>
              <w:ind w:left="120"/>
            </w:pPr>
            <w:r>
              <w:rPr>
                <w:rFonts w:ascii="Calibri" w:hAnsi="Calibri"/>
                <w:b/>
                <w:color w:val="1F2328"/>
                <w:sz w:val="21"/>
              </w:rPr>
              <w:t xml:space="preserve">Model Selection Rationale:  </w:t>
            </w:r>
            <w:r>
              <w:rPr>
                <w:rFonts w:ascii="Calibri" w:hAnsi="Calibri"/>
                <w:color w:val="1F2328"/>
                <w:sz w:val="21"/>
              </w:rPr>
              <w:t>Logistic Regression is selected as the winner based on highest ROC-AUC (0.8416 vs 0.8411). ROC-AUC is the primary selection criterion under class imbalance, as it measures discrimination ability independently of class distribution. Note that Logistic Regression also achieves higher Recall (78.3% vs 77.0%), which is the most commercially important metric in this context (see Section 5.4). Random Forest achieves higher Accuracy, Precision, and F1-Score.</w:t>
            </w:r>
          </w:p>
        </w:tc>
      </w:tr>
    </w:tbl>
    <w:p/>
    <w:p>
      <w:pPr>
        <w:spacing w:before="120" w:after="120"/>
        <w:pBdr>
          <w:bottom w:val="single" w:sz="6" w:space="1" w:color="1F2328"/>
        </w:pBdr>
      </w:pPr>
      <w:r>
        <w:rPr>
          <w:rFonts w:ascii="Calibri" w:hAnsi="Calibri"/>
          <w:b/>
          <w:color w:val="1F2328"/>
          <w:sz w:val="32"/>
        </w:rPr>
        <w:t>5.3  Confusion Matrices (Test Set -- 20%)</w:t>
      </w:r>
    </w:p>
    <w:p>
      <w:pPr>
        <w:jc w:val="center"/>
      </w:pPr>
      <w:r>
        <w:drawing>
          <wp:inline xmlns:a="http://schemas.openxmlformats.org/drawingml/2006/main" xmlns:pic="http://schemas.openxmlformats.org/drawingml/2006/picture">
            <wp:extent cx="5760000" cy="2235386"/>
            <wp:docPr id="6" name="Picture 6"/>
            <wp:cNvGraphicFramePr>
              <a:graphicFrameLocks noChangeAspect="1"/>
            </wp:cNvGraphicFramePr>
            <a:graphic>
              <a:graphicData uri="http://schemas.openxmlformats.org/drawingml/2006/picture">
                <pic:pic>
                  <pic:nvPicPr>
                    <pic:cNvPr id="0" name="chart6_cm.png"/>
                    <pic:cNvPicPr/>
                  </pic:nvPicPr>
                  <pic:blipFill>
                    <a:blip r:embed="rId14"/>
                    <a:stretch>
                      <a:fillRect/>
                    </a:stretch>
                  </pic:blipFill>
                  <pic:spPr>
                    <a:xfrm>
                      <a:off x="0" y="0"/>
                      <a:ext cx="5760000" cy="2235386"/>
                    </a:xfrm>
                    <a:prstGeom prst="rect"/>
                  </pic:spPr>
                </pic:pic>
              </a:graphicData>
            </a:graphic>
          </wp:inline>
        </w:drawing>
      </w:r>
    </w:p>
    <w:p>
      <w:pPr>
        <w:jc w:val="center"/>
        <w:spacing w:before="40" w:after="160"/>
      </w:pPr>
      <w:r>
        <w:rPr>
          <w:rFonts w:ascii="Calibri" w:hAnsi="Calibri"/>
          <w:i/>
          <w:color w:val="57606A"/>
          <w:sz w:val="18"/>
        </w:rPr>
        <w:t>Figure 6. Confusion matrices for Logistic Regression (left) and Random Forest (right) on held-out test data.</w:t>
      </w:r>
    </w:p>
    <w:tbl>
      <w:tblPr>
        <w:tblW w:type="auto" w:w="0"/>
        <w:jc w:val="left"/>
        <w:tblLook w:firstColumn="1" w:firstRow="1" w:lastColumn="0" w:lastRow="0" w:noHBand="0" w:noVBand="1" w:val="04A0"/>
      </w:tblPr>
      <w:tblGrid>
        <w:gridCol w:w="3120"/>
        <w:gridCol w:w="3120"/>
        <w:gridCol w:w="3120"/>
      </w:tblGrid>
      <w:tr>
        <w:tc>
          <w:tcPr>
            <w:tcW w:type="dxa" w:w="2551"/>
            <w:shd w:val="clear" w:color="auto" w:fill="1F2328"/>
            <w:vAlign w:val="center"/>
          </w:tcPr>
          <w:p>
            <w:pPr>
              <w:jc w:val="center"/>
              <w:spacing w:before="0" w:after="40"/>
            </w:pPr>
            <w:r>
              <w:rPr>
                <w:rFonts w:ascii="Calibri" w:hAnsi="Calibri"/>
                <w:b/>
                <w:color w:val="FFFFFF"/>
                <w:sz w:val="20"/>
              </w:rPr>
            </w:r>
          </w:p>
        </w:tc>
        <w:tc>
          <w:tcPr>
            <w:tcW w:type="dxa" w:w="3402"/>
            <w:shd w:val="clear" w:color="auto" w:fill="1F2328"/>
            <w:vAlign w:val="center"/>
          </w:tcPr>
          <w:p>
            <w:pPr>
              <w:jc w:val="center"/>
              <w:spacing w:before="0" w:after="40"/>
            </w:pPr>
            <w:r>
              <w:rPr>
                <w:rFonts w:ascii="Calibri" w:hAnsi="Calibri"/>
                <w:b/>
                <w:color w:val="FFFFFF"/>
                <w:sz w:val="20"/>
              </w:rPr>
              <w:t>LR: Pred Retained (Neg)</w:t>
            </w:r>
          </w:p>
        </w:tc>
        <w:tc>
          <w:tcPr>
            <w:tcW w:type="dxa" w:w="3402"/>
            <w:shd w:val="clear" w:color="auto" w:fill="1F2328"/>
            <w:vAlign w:val="center"/>
          </w:tcPr>
          <w:p>
            <w:pPr>
              <w:jc w:val="center"/>
              <w:spacing w:before="0" w:after="40"/>
            </w:pPr>
            <w:r>
              <w:rPr>
                <w:rFonts w:ascii="Calibri" w:hAnsi="Calibri"/>
                <w:b/>
                <w:color w:val="FFFFFF"/>
                <w:sz w:val="20"/>
              </w:rPr>
              <w:t>LR: Pred Churned (Pos)</w:t>
            </w:r>
          </w:p>
        </w:tc>
      </w:tr>
      <w:tr>
        <w:tc>
          <w:tcPr>
            <w:tcW w:type="dxa" w:w="2551"/>
            <w:shd w:val="clear" w:color="auto" w:fill="FFFFFF"/>
            <w:vAlign w:val="center"/>
          </w:tcPr>
          <w:p>
            <w:pPr>
              <w:jc w:val="center"/>
              <w:spacing w:before="0" w:after="40"/>
            </w:pPr>
            <w:r>
              <w:rPr>
                <w:rFonts w:ascii="Calibri" w:hAnsi="Calibri"/>
                <w:color w:val="1F2328"/>
                <w:sz w:val="20"/>
              </w:rPr>
              <w:t>Actual: Retained</w:t>
            </w:r>
          </w:p>
        </w:tc>
        <w:tc>
          <w:tcPr>
            <w:tcW w:type="dxa" w:w="3402"/>
            <w:shd w:val="clear" w:color="auto" w:fill="FFFFFF"/>
            <w:vAlign w:val="center"/>
          </w:tcPr>
          <w:p>
            <w:pPr>
              <w:jc w:val="center"/>
              <w:spacing w:before="0" w:after="40"/>
            </w:pPr>
            <w:r>
              <w:rPr>
                <w:rFonts w:ascii="Calibri" w:hAnsi="Calibri"/>
                <w:color w:val="1F2328"/>
                <w:sz w:val="20"/>
              </w:rPr>
              <w:t>747  (True Negative)</w:t>
            </w:r>
          </w:p>
        </w:tc>
        <w:tc>
          <w:tcPr>
            <w:tcW w:type="dxa" w:w="3402"/>
            <w:shd w:val="clear" w:color="auto" w:fill="FFFFFF"/>
            <w:vAlign w:val="center"/>
          </w:tcPr>
          <w:p>
            <w:pPr>
              <w:jc w:val="center"/>
              <w:spacing w:before="0" w:after="40"/>
            </w:pPr>
            <w:r>
              <w:rPr>
                <w:rFonts w:ascii="Calibri" w:hAnsi="Calibri"/>
                <w:color w:val="1F2328"/>
                <w:sz w:val="20"/>
              </w:rPr>
              <w:t>288  (False Positive)</w:t>
            </w:r>
          </w:p>
        </w:tc>
      </w:tr>
      <w:tr>
        <w:tc>
          <w:tcPr>
            <w:tcW w:type="dxa" w:w="2551"/>
            <w:shd w:val="clear" w:color="auto" w:fill="F7F8FA"/>
            <w:vAlign w:val="center"/>
          </w:tcPr>
          <w:p>
            <w:pPr>
              <w:jc w:val="center"/>
              <w:spacing w:before="0" w:after="40"/>
            </w:pPr>
            <w:r>
              <w:rPr>
                <w:rFonts w:ascii="Calibri" w:hAnsi="Calibri"/>
                <w:color w:val="1F2328"/>
                <w:sz w:val="20"/>
              </w:rPr>
              <w:t>Actual: Churned</w:t>
            </w:r>
          </w:p>
        </w:tc>
        <w:tc>
          <w:tcPr>
            <w:tcW w:type="dxa" w:w="3402"/>
            <w:shd w:val="clear" w:color="auto" w:fill="F7F8FA"/>
            <w:vAlign w:val="center"/>
          </w:tcPr>
          <w:p>
            <w:pPr>
              <w:jc w:val="center"/>
              <w:spacing w:before="0" w:after="40"/>
            </w:pPr>
            <w:r>
              <w:rPr>
                <w:rFonts w:ascii="Calibri" w:hAnsi="Calibri"/>
                <w:color w:val="1F2328"/>
                <w:sz w:val="20"/>
              </w:rPr>
              <w:t>81   (False Negative)</w:t>
            </w:r>
          </w:p>
        </w:tc>
        <w:tc>
          <w:tcPr>
            <w:tcW w:type="dxa" w:w="3402"/>
            <w:shd w:val="clear" w:color="auto" w:fill="F7F8FA"/>
            <w:vAlign w:val="center"/>
          </w:tcPr>
          <w:p>
            <w:pPr>
              <w:jc w:val="center"/>
              <w:spacing w:before="0" w:after="40"/>
            </w:pPr>
            <w:r>
              <w:rPr>
                <w:rFonts w:ascii="Calibri" w:hAnsi="Calibri"/>
                <w:color w:val="1F2328"/>
                <w:sz w:val="20"/>
              </w:rPr>
              <w:t>293  (True Positive)</w:t>
            </w:r>
          </w:p>
        </w:tc>
      </w:tr>
    </w:tbl>
    <w:p/>
    <w:p/>
    <w:tbl>
      <w:tblPr>
        <w:tblW w:type="auto" w:w="0"/>
        <w:jc w:val="left"/>
        <w:tblLook w:firstColumn="1" w:firstRow="1" w:lastColumn="0" w:lastRow="0" w:noHBand="0" w:noVBand="1" w:val="04A0"/>
      </w:tblPr>
      <w:tblGrid>
        <w:gridCol w:w="3120"/>
        <w:gridCol w:w="3120"/>
        <w:gridCol w:w="3120"/>
      </w:tblGrid>
      <w:tr>
        <w:tc>
          <w:tcPr>
            <w:tcW w:type="dxa" w:w="2551"/>
            <w:shd w:val="clear" w:color="auto" w:fill="1F2328"/>
            <w:vAlign w:val="center"/>
          </w:tcPr>
          <w:p>
            <w:pPr>
              <w:jc w:val="center"/>
              <w:spacing w:before="0" w:after="40"/>
            </w:pPr>
            <w:r>
              <w:rPr>
                <w:rFonts w:ascii="Calibri" w:hAnsi="Calibri"/>
                <w:b/>
                <w:color w:val="FFFFFF"/>
                <w:sz w:val="20"/>
              </w:rPr>
            </w:r>
          </w:p>
        </w:tc>
        <w:tc>
          <w:tcPr>
            <w:tcW w:type="dxa" w:w="3402"/>
            <w:shd w:val="clear" w:color="auto" w:fill="1F2328"/>
            <w:vAlign w:val="center"/>
          </w:tcPr>
          <w:p>
            <w:pPr>
              <w:jc w:val="center"/>
              <w:spacing w:before="0" w:after="40"/>
            </w:pPr>
            <w:r>
              <w:rPr>
                <w:rFonts w:ascii="Calibri" w:hAnsi="Calibri"/>
                <w:b/>
                <w:color w:val="FFFFFF"/>
                <w:sz w:val="20"/>
              </w:rPr>
              <w:t>RF: Pred Retained (Neg)</w:t>
            </w:r>
          </w:p>
        </w:tc>
        <w:tc>
          <w:tcPr>
            <w:tcW w:type="dxa" w:w="3402"/>
            <w:shd w:val="clear" w:color="auto" w:fill="1F2328"/>
            <w:vAlign w:val="center"/>
          </w:tcPr>
          <w:p>
            <w:pPr>
              <w:jc w:val="center"/>
              <w:spacing w:before="0" w:after="40"/>
            </w:pPr>
            <w:r>
              <w:rPr>
                <w:rFonts w:ascii="Calibri" w:hAnsi="Calibri"/>
                <w:b/>
                <w:color w:val="FFFFFF"/>
                <w:sz w:val="20"/>
              </w:rPr>
              <w:t>RF: Pred Churned (Pos)</w:t>
            </w:r>
          </w:p>
        </w:tc>
      </w:tr>
      <w:tr>
        <w:tc>
          <w:tcPr>
            <w:tcW w:type="dxa" w:w="2551"/>
            <w:shd w:val="clear" w:color="auto" w:fill="FFFFFF"/>
            <w:vAlign w:val="center"/>
          </w:tcPr>
          <w:p>
            <w:pPr>
              <w:jc w:val="center"/>
              <w:spacing w:before="0" w:after="40"/>
            </w:pPr>
            <w:r>
              <w:rPr>
                <w:rFonts w:ascii="Calibri" w:hAnsi="Calibri"/>
                <w:color w:val="1F2328"/>
                <w:sz w:val="20"/>
              </w:rPr>
              <w:t>Actual: Retained</w:t>
            </w:r>
          </w:p>
        </w:tc>
        <w:tc>
          <w:tcPr>
            <w:tcW w:type="dxa" w:w="3402"/>
            <w:shd w:val="clear" w:color="auto" w:fill="FFFFFF"/>
            <w:vAlign w:val="center"/>
          </w:tcPr>
          <w:p>
            <w:pPr>
              <w:jc w:val="center"/>
              <w:spacing w:before="0" w:after="40"/>
            </w:pPr>
            <w:r>
              <w:rPr>
                <w:rFonts w:ascii="Calibri" w:hAnsi="Calibri"/>
                <w:color w:val="1F2328"/>
                <w:sz w:val="20"/>
              </w:rPr>
              <w:t>779  (True Negative)</w:t>
            </w:r>
          </w:p>
        </w:tc>
        <w:tc>
          <w:tcPr>
            <w:tcW w:type="dxa" w:w="3402"/>
            <w:shd w:val="clear" w:color="auto" w:fill="FFFFFF"/>
            <w:vAlign w:val="center"/>
          </w:tcPr>
          <w:p>
            <w:pPr>
              <w:jc w:val="center"/>
              <w:spacing w:before="0" w:after="40"/>
            </w:pPr>
            <w:r>
              <w:rPr>
                <w:rFonts w:ascii="Calibri" w:hAnsi="Calibri"/>
                <w:color w:val="1F2328"/>
                <w:sz w:val="20"/>
              </w:rPr>
              <w:t>256  (False Positive)</w:t>
            </w:r>
          </w:p>
        </w:tc>
      </w:tr>
      <w:tr>
        <w:tc>
          <w:tcPr>
            <w:tcW w:type="dxa" w:w="2551"/>
            <w:shd w:val="clear" w:color="auto" w:fill="F7F8FA"/>
            <w:vAlign w:val="center"/>
          </w:tcPr>
          <w:p>
            <w:pPr>
              <w:jc w:val="center"/>
              <w:spacing w:before="0" w:after="40"/>
            </w:pPr>
            <w:r>
              <w:rPr>
                <w:rFonts w:ascii="Calibri" w:hAnsi="Calibri"/>
                <w:color w:val="1F2328"/>
                <w:sz w:val="20"/>
              </w:rPr>
              <w:t>Actual: Churned</w:t>
            </w:r>
          </w:p>
        </w:tc>
        <w:tc>
          <w:tcPr>
            <w:tcW w:type="dxa" w:w="3402"/>
            <w:shd w:val="clear" w:color="auto" w:fill="F7F8FA"/>
            <w:vAlign w:val="center"/>
          </w:tcPr>
          <w:p>
            <w:pPr>
              <w:jc w:val="center"/>
              <w:spacing w:before="0" w:after="40"/>
            </w:pPr>
            <w:r>
              <w:rPr>
                <w:rFonts w:ascii="Calibri" w:hAnsi="Calibri"/>
                <w:color w:val="1F2328"/>
                <w:sz w:val="20"/>
              </w:rPr>
              <w:t>86   (False Negative)</w:t>
            </w:r>
          </w:p>
        </w:tc>
        <w:tc>
          <w:tcPr>
            <w:tcW w:type="dxa" w:w="3402"/>
            <w:shd w:val="clear" w:color="auto" w:fill="F7F8FA"/>
            <w:vAlign w:val="center"/>
          </w:tcPr>
          <w:p>
            <w:pPr>
              <w:jc w:val="center"/>
              <w:spacing w:before="0" w:after="40"/>
            </w:pPr>
            <w:r>
              <w:rPr>
                <w:rFonts w:ascii="Calibri" w:hAnsi="Calibri"/>
                <w:color w:val="1F2328"/>
                <w:sz w:val="20"/>
              </w:rPr>
              <w:t>288  (True Positive)</w:t>
            </w:r>
          </w:p>
        </w:tc>
      </w:tr>
    </w:tbl>
    <w:p/>
    <w:p>
      <w:r>
        <w:br w:type="page"/>
      </w:r>
    </w:p>
    <w:p>
      <w:pPr>
        <w:spacing w:before="120" w:after="120"/>
        <w:pBdr>
          <w:bottom w:val="single" w:sz="6" w:space="1" w:color="1F2328"/>
        </w:pBdr>
      </w:pPr>
      <w:r>
        <w:rPr>
          <w:rFonts w:ascii="Calibri" w:hAnsi="Calibri"/>
          <w:b/>
          <w:color w:val="1F2328"/>
          <w:sz w:val="32"/>
        </w:rPr>
        <w:t>5.4  ROC Curves</w:t>
      </w:r>
    </w:p>
    <w:p>
      <w:pPr>
        <w:jc w:val="center"/>
      </w:pPr>
      <w:r>
        <w:drawing>
          <wp:inline xmlns:a="http://schemas.openxmlformats.org/drawingml/2006/main" xmlns:pic="http://schemas.openxmlformats.org/drawingml/2006/picture">
            <wp:extent cx="5040000" cy="3124459"/>
            <wp:docPr id="7" name="Picture 7"/>
            <wp:cNvGraphicFramePr>
              <a:graphicFrameLocks noChangeAspect="1"/>
            </wp:cNvGraphicFramePr>
            <a:graphic>
              <a:graphicData uri="http://schemas.openxmlformats.org/drawingml/2006/picture">
                <pic:pic>
                  <pic:nvPicPr>
                    <pic:cNvPr id="0" name="chart7_roc.png"/>
                    <pic:cNvPicPr/>
                  </pic:nvPicPr>
                  <pic:blipFill>
                    <a:blip r:embed="rId15"/>
                    <a:stretch>
                      <a:fillRect/>
                    </a:stretch>
                  </pic:blipFill>
                  <pic:spPr>
                    <a:xfrm>
                      <a:off x="0" y="0"/>
                      <a:ext cx="5040000" cy="3124459"/>
                    </a:xfrm>
                    <a:prstGeom prst="rect"/>
                  </pic:spPr>
                </pic:pic>
              </a:graphicData>
            </a:graphic>
          </wp:inline>
        </w:drawing>
      </w:r>
    </w:p>
    <w:p>
      <w:pPr>
        <w:jc w:val="center"/>
        <w:spacing w:before="40" w:after="160"/>
      </w:pPr>
      <w:r>
        <w:rPr>
          <w:rFonts w:ascii="Calibri" w:hAnsi="Calibri"/>
          <w:i/>
          <w:color w:val="57606A"/>
          <w:sz w:val="18"/>
        </w:rPr>
        <w:t>Figure 7. ROC curves: Logistic Regression (AUC 0.8416) vs. Random Forest (AUC 0.8411). Both substantially outperform the random baseline.</w:t>
      </w:r>
    </w:p>
    <w:p>
      <w:pPr>
        <w:spacing w:before="120" w:after="120"/>
        <w:pBdr>
          <w:bottom w:val="single" w:sz="6" w:space="1" w:color="1F2328"/>
        </w:pBdr>
      </w:pPr>
      <w:r>
        <w:rPr>
          <w:rFonts w:ascii="Calibri" w:hAnsi="Calibri"/>
          <w:b/>
          <w:color w:val="1F2328"/>
          <w:sz w:val="32"/>
        </w:rPr>
        <w:t>5.5  Feature Importances (Random Forest)</w:t>
      </w:r>
    </w:p>
    <w:p>
      <w:pPr>
        <w:jc w:val="center"/>
      </w:pPr>
      <w:r>
        <w:drawing>
          <wp:inline xmlns:a="http://schemas.openxmlformats.org/drawingml/2006/main" xmlns:pic="http://schemas.openxmlformats.org/drawingml/2006/picture">
            <wp:extent cx="5400000" cy="2962332"/>
            <wp:docPr id="8" name="Picture 8"/>
            <wp:cNvGraphicFramePr>
              <a:graphicFrameLocks noChangeAspect="1"/>
            </wp:cNvGraphicFramePr>
            <a:graphic>
              <a:graphicData uri="http://schemas.openxmlformats.org/drawingml/2006/picture">
                <pic:pic>
                  <pic:nvPicPr>
                    <pic:cNvPr id="0" name="chart8_feat_imp.png"/>
                    <pic:cNvPicPr/>
                  </pic:nvPicPr>
                  <pic:blipFill>
                    <a:blip r:embed="rId16"/>
                    <a:stretch>
                      <a:fillRect/>
                    </a:stretch>
                  </pic:blipFill>
                  <pic:spPr>
                    <a:xfrm>
                      <a:off x="0" y="0"/>
                      <a:ext cx="5400000" cy="2962332"/>
                    </a:xfrm>
                    <a:prstGeom prst="rect"/>
                  </pic:spPr>
                </pic:pic>
              </a:graphicData>
            </a:graphic>
          </wp:inline>
        </w:drawing>
      </w:r>
    </w:p>
    <w:p>
      <w:pPr>
        <w:jc w:val="center"/>
        <w:spacing w:before="40" w:after="160"/>
      </w:pPr>
      <w:r>
        <w:rPr>
          <w:rFonts w:ascii="Calibri" w:hAnsi="Calibri"/>
          <w:i/>
          <w:color w:val="57606A"/>
          <w:sz w:val="18"/>
        </w:rPr>
        <w:t>Figure 8. Top 15 features ranked by mean decrease in Gini impurity (post-OneHot expansion).</w:t>
      </w:r>
    </w:p>
    <w:tbl>
      <w:tblPr>
        <w:tblW w:type="auto" w:w="0"/>
        <w:jc w:val="left"/>
        <w:tblLook w:firstColumn="1" w:firstRow="1" w:lastColumn="0" w:lastRow="0" w:noHBand="0" w:noVBand="1" w:val="04A0"/>
      </w:tblPr>
      <w:tblGrid>
        <w:gridCol w:w="9360"/>
      </w:tblGrid>
      <w:tr>
        <w:tc>
          <w:tcPr>
            <w:tcW w:type="dxa" w:w="9360"/>
            <w:shd w:val="clear" w:color="auto" w:fill="F0F6FF"/>
            <w:tcBorders>
              <w:top w:val="single" w:sz="8" w:space="0" w:color="3B82D4"/>
              <w:bottom w:val="single" w:sz="8" w:space="0" w:color="3B82D4"/>
              <w:left w:val="single" w:sz="24" w:space="0" w:color="3B82D4"/>
              <w:right w:val="single" w:sz="8" w:space="0" w:color="3B82D4"/>
            </w:tcBorders>
          </w:tcPr>
          <w:p>
            <w:pPr>
              <w:jc w:val="left"/>
              <w:spacing w:before="60" w:after="60"/>
              <w:ind w:left="120"/>
            </w:pPr>
            <w:r>
              <w:rPr>
                <w:rFonts w:ascii="Calibri" w:hAnsi="Calibri"/>
                <w:b/>
                <w:color w:val="1F2328"/>
                <w:sz w:val="21"/>
              </w:rPr>
              <w:t xml:space="preserve">Insight:  </w:t>
            </w:r>
            <w:r>
              <w:rPr>
                <w:rFonts w:ascii="Calibri" w:hAnsi="Calibri"/>
                <w:color w:val="1F2328"/>
                <w:sz w:val="21"/>
              </w:rPr>
              <w:t>After OneHot encoding, tenure, MonthlyCharges, and TotalCharges remain the three most important individual predictors -- consistent with EDA findings. Note that tenure and TotalCharges are correlated (higher tenure typically means higher accumulated charges), which may inflate the combined importance of these features relative to their independent causal contribution.</w:t>
            </w:r>
          </w:p>
        </w:tc>
      </w:tr>
    </w:tbl>
    <w:p/>
    <w:p>
      <w:pPr>
        <w:spacing w:before="120" w:after="120"/>
        <w:pBdr>
          <w:bottom w:val="single" w:sz="6" w:space="1" w:color="1F2328"/>
        </w:pBdr>
      </w:pPr>
      <w:r>
        <w:rPr>
          <w:rFonts w:ascii="Calibri" w:hAnsi="Calibri"/>
          <w:b/>
          <w:color w:val="1F2328"/>
          <w:sz w:val="32"/>
        </w:rPr>
        <w:t>5.6  False Positive vs. False Negative Trade-off</w:t>
      </w:r>
    </w:p>
    <w:tbl>
      <w:tblPr>
        <w:tblW w:type="auto" w:w="0"/>
        <w:jc w:val="left"/>
        <w:tblLook w:firstColumn="1" w:firstRow="1" w:lastColumn="0" w:lastRow="0" w:noHBand="0" w:noVBand="1" w:val="04A0"/>
      </w:tblPr>
      <w:tblGrid>
        <w:gridCol w:w="9360"/>
      </w:tblGrid>
      <w:tr>
        <w:tc>
          <w:tcPr>
            <w:tcW w:type="dxa" w:w="9360"/>
            <w:shd w:val="clear" w:color="auto" w:fill="FFF8E6"/>
            <w:tcBorders>
              <w:top w:val="single" w:sz="8" w:space="0" w:color="F5D87B"/>
              <w:bottom w:val="single" w:sz="8" w:space="0" w:color="F5D87B"/>
              <w:left w:val="single" w:sz="24" w:space="0" w:color="F5D87B"/>
              <w:right w:val="single" w:sz="8" w:space="0" w:color="F5D87B"/>
            </w:tcBorders>
          </w:tcPr>
          <w:p>
            <w:pPr>
              <w:jc w:val="left"/>
              <w:spacing w:before="60" w:after="60"/>
              <w:ind w:left="120"/>
            </w:pPr>
            <w:r>
              <w:rPr>
                <w:rFonts w:ascii="Calibri" w:hAnsi="Calibri"/>
                <w:b/>
                <w:color w:val="1F2328"/>
                <w:sz w:val="21"/>
              </w:rPr>
              <w:t xml:space="preserve">False Negative cost:  </w:t>
            </w:r>
            <w:r>
              <w:rPr>
                <w:rFonts w:ascii="Calibri" w:hAnsi="Calibri"/>
                <w:color w:val="1F2328"/>
                <w:sz w:val="21"/>
              </w:rPr>
              <w:t>A False Negative (predict Retained when actually Churned): the customer leaves without any intervention. Revenue from that customer is permanently lost. The dataset does not contain actual LTV figures -- any financial impact estimate requires external business data. Each undetected churner is an irreversible loss.</w:t>
            </w:r>
          </w:p>
        </w:tc>
      </w:tr>
    </w:tbl>
    <w:p/>
    <w:tbl>
      <w:tblPr>
        <w:tblW w:type="auto" w:w="0"/>
        <w:jc w:val="left"/>
        <w:tblLook w:firstColumn="1" w:firstRow="1" w:lastColumn="0" w:lastRow="0" w:noHBand="0" w:noVBand="1" w:val="04A0"/>
      </w:tblPr>
      <w:tblGrid>
        <w:gridCol w:w="9360"/>
      </w:tblGrid>
      <w:tr>
        <w:tc>
          <w:tcPr>
            <w:tcW w:type="dxa" w:w="9360"/>
            <w:shd w:val="clear" w:color="auto" w:fill="EDFAF1"/>
            <w:tcBorders>
              <w:top w:val="single" w:sz="8" w:space="0" w:color="82D9A0"/>
              <w:bottom w:val="single" w:sz="8" w:space="0" w:color="82D9A0"/>
              <w:left w:val="single" w:sz="24" w:space="0" w:color="82D9A0"/>
              <w:right w:val="single" w:sz="8" w:space="0" w:color="82D9A0"/>
            </w:tcBorders>
          </w:tcPr>
          <w:p>
            <w:pPr>
              <w:jc w:val="left"/>
              <w:spacing w:before="60" w:after="60"/>
              <w:ind w:left="120"/>
            </w:pPr>
            <w:r>
              <w:rPr>
                <w:rFonts w:ascii="Calibri" w:hAnsi="Calibri"/>
                <w:b/>
                <w:color w:val="1F2328"/>
                <w:sz w:val="21"/>
              </w:rPr>
              <w:t xml:space="preserve">False Positive cost:  </w:t>
            </w:r>
            <w:r>
              <w:rPr>
                <w:rFonts w:ascii="Calibri" w:hAnsi="Calibri"/>
                <w:color w:val="1F2328"/>
                <w:sz w:val="21"/>
              </w:rPr>
              <w:t>A False Positive (predict Churned when actually Retained): a retention offer is sent unnecessarily. The cost is the offer value -- bounded and controllable. May slightly cannibalize margin but preserves relationship.</w:t>
            </w:r>
          </w:p>
        </w:tc>
      </w:tr>
    </w:tbl>
    <w:p/>
    <w:p>
      <w:pPr>
        <w:spacing w:before="0" w:after="80"/>
      </w:pPr>
      <w:r>
        <w:rPr>
          <w:rFonts w:ascii="Calibri" w:hAnsi="Calibri"/>
          <w:i w:val="0"/>
          <w:color w:val="1F2328"/>
          <w:sz w:val="21"/>
        </w:rPr>
        <w:t>Business verdict: False Negatives are generally more costly. The model should be tuned to maximise Recall, accepting a higher False Positive rate. The optimal decision threshold depends on the unit economics of retention offers vs. customer value -- typically below 0.5.</w:t>
      </w:r>
    </w:p>
    <w:p>
      <w:r>
        <w:br w:type="page"/>
      </w:r>
    </w:p>
    <w:p>
      <w:pPr>
        <w:spacing w:before="120" w:after="120"/>
        <w:pBdr>
          <w:bottom w:val="single" w:sz="6" w:space="1" w:color="3B82D4"/>
        </w:pBdr>
      </w:pPr>
      <w:r>
        <w:rPr>
          <w:rFonts w:ascii="Calibri" w:hAnsi="Calibri"/>
          <w:b/>
          <w:color w:val="3B82D4"/>
          <w:sz w:val="44"/>
        </w:rPr>
        <w:t>6.  Prescriptive Strategy &amp; Operational Levers  (Tier 4)</w:t>
      </w:r>
    </w:p>
    <w:p>
      <w:pPr>
        <w:spacing w:before="120" w:after="120"/>
        <w:pBdr>
          <w:bottom w:val="single" w:sz="6" w:space="1" w:color="1F2328"/>
        </w:pBdr>
      </w:pPr>
      <w:r>
        <w:rPr>
          <w:rFonts w:ascii="Calibri" w:hAnsi="Calibri"/>
          <w:b/>
          <w:color w:val="1F2328"/>
          <w:sz w:val="32"/>
        </w:rPr>
        <w:t>6.1  Risk Prioritisation Methodology</w:t>
      </w:r>
    </w:p>
    <w:p>
      <w:pPr>
        <w:spacing w:before="0" w:after="80"/>
      </w:pPr>
      <w:r>
        <w:rPr>
          <w:rFonts w:ascii="Calibri" w:hAnsi="Calibri"/>
          <w:i w:val="0"/>
          <w:color w:val="1F2328"/>
          <w:sz w:val="21"/>
        </w:rPr>
        <w:t>Full-dataset risk scores are generated using 5-fold stratified cross-validated (out-of-fold) predictions. Each customer's score comes from a model fold in which they were held out -- producing honest, out-of-sample probability estimates. These scores are used exclusively for operational triage, not as model performance metrics (which are measured on the dedicated 20% test set in Section 5.2).</w:t>
      </w:r>
    </w:p>
    <w:p>
      <w:pPr>
        <w:spacing w:before="120" w:after="120"/>
        <w:pBdr>
          <w:bottom w:val="single" w:sz="6" w:space="1" w:color="1F2328"/>
        </w:pBdr>
      </w:pPr>
      <w:r>
        <w:rPr>
          <w:rFonts w:ascii="Calibri" w:hAnsi="Calibri"/>
          <w:b/>
          <w:color w:val="1F2328"/>
          <w:sz w:val="32"/>
        </w:rPr>
        <w:t>6.2  Risk Segmentation</w:t>
      </w:r>
    </w:p>
    <w:tbl>
      <w:tblPr>
        <w:tblW w:type="auto" w:w="0"/>
        <w:jc w:val="left"/>
        <w:tblLook w:firstColumn="1" w:firstRow="1" w:lastColumn="0" w:lastRow="0" w:noHBand="0" w:noVBand="1" w:val="04A0"/>
      </w:tblPr>
      <w:tblGrid>
        <w:gridCol w:w="3120"/>
        <w:gridCol w:w="3120"/>
        <w:gridCol w:w="3120"/>
      </w:tblGrid>
      <w:tr>
        <w:tc>
          <w:tcPr>
            <w:tcW w:type="dxa" w:w="1417"/>
            <w:shd w:val="clear" w:color="auto" w:fill="1F2328"/>
            <w:vAlign w:val="center"/>
          </w:tcPr>
          <w:p>
            <w:pPr>
              <w:jc w:val="center"/>
              <w:spacing w:before="0" w:after="40"/>
            </w:pPr>
            <w:r>
              <w:rPr>
                <w:rFonts w:ascii="Calibri" w:hAnsi="Calibri"/>
                <w:b/>
                <w:color w:val="FFFFFF"/>
                <w:sz w:val="20"/>
              </w:rPr>
              <w:t>Risk Tier</w:t>
            </w:r>
          </w:p>
        </w:tc>
        <w:tc>
          <w:tcPr>
            <w:tcW w:type="dxa" w:w="3118"/>
            <w:shd w:val="clear" w:color="auto" w:fill="1F2328"/>
            <w:vAlign w:val="center"/>
          </w:tcPr>
          <w:p>
            <w:pPr>
              <w:jc w:val="center"/>
              <w:spacing w:before="0" w:after="40"/>
            </w:pPr>
            <w:r>
              <w:rPr>
                <w:rFonts w:ascii="Calibri" w:hAnsi="Calibri"/>
                <w:b/>
                <w:color w:val="FFFFFF"/>
                <w:sz w:val="20"/>
              </w:rPr>
              <w:t>Churn Probability Threshold</w:t>
            </w:r>
          </w:p>
        </w:tc>
        <w:tc>
          <w:tcPr>
            <w:tcW w:type="dxa" w:w="4819"/>
            <w:shd w:val="clear" w:color="auto" w:fill="1F2328"/>
            <w:vAlign w:val="center"/>
          </w:tcPr>
          <w:p>
            <w:pPr>
              <w:jc w:val="center"/>
              <w:spacing w:before="0" w:after="40"/>
            </w:pPr>
            <w:r>
              <w:rPr>
                <w:rFonts w:ascii="Calibri" w:hAnsi="Calibri"/>
                <w:b/>
                <w:color w:val="FFFFFF"/>
                <w:sz w:val="20"/>
              </w:rPr>
              <w:t>Suggested Action</w:t>
            </w:r>
          </w:p>
        </w:tc>
      </w:tr>
      <w:tr>
        <w:tc>
          <w:tcPr>
            <w:tcW w:type="dxa" w:w="1417"/>
            <w:shd w:val="clear" w:color="auto" w:fill="FFFFFF"/>
            <w:vAlign w:val="center"/>
          </w:tcPr>
          <w:p>
            <w:pPr>
              <w:jc w:val="center"/>
              <w:spacing w:before="0" w:after="40"/>
            </w:pPr>
            <w:r>
              <w:rPr>
                <w:rFonts w:ascii="Calibri" w:hAnsi="Calibri"/>
                <w:color w:val="1F2328"/>
                <w:sz w:val="20"/>
              </w:rPr>
              <w:t>Low</w:t>
            </w:r>
          </w:p>
        </w:tc>
        <w:tc>
          <w:tcPr>
            <w:tcW w:type="dxa" w:w="3118"/>
            <w:shd w:val="clear" w:color="auto" w:fill="FFFFFF"/>
            <w:vAlign w:val="center"/>
          </w:tcPr>
          <w:p>
            <w:pPr>
              <w:jc w:val="center"/>
              <w:spacing w:before="0" w:after="40"/>
            </w:pPr>
            <w:r>
              <w:rPr>
                <w:rFonts w:ascii="Calibri" w:hAnsi="Calibri"/>
                <w:color w:val="1F2328"/>
                <w:sz w:val="20"/>
              </w:rPr>
              <w:t>&lt; 30%</w:t>
            </w:r>
          </w:p>
        </w:tc>
        <w:tc>
          <w:tcPr>
            <w:tcW w:type="dxa" w:w="4819"/>
            <w:shd w:val="clear" w:color="auto" w:fill="FFFFFF"/>
            <w:vAlign w:val="center"/>
          </w:tcPr>
          <w:p>
            <w:pPr>
              <w:jc w:val="center"/>
              <w:spacing w:before="0" w:after="40"/>
            </w:pPr>
            <w:r>
              <w:rPr>
                <w:rFonts w:ascii="Calibri" w:hAnsi="Calibri"/>
                <w:color w:val="1F2328"/>
                <w:sz w:val="20"/>
              </w:rPr>
              <w:t>Routine engagement; active intervention generally not justified</w:t>
            </w:r>
          </w:p>
        </w:tc>
      </w:tr>
      <w:tr>
        <w:tc>
          <w:tcPr>
            <w:tcW w:type="dxa" w:w="1417"/>
            <w:shd w:val="clear" w:color="auto" w:fill="F7F8FA"/>
            <w:vAlign w:val="center"/>
          </w:tcPr>
          <w:p>
            <w:pPr>
              <w:jc w:val="center"/>
              <w:spacing w:before="0" w:after="40"/>
            </w:pPr>
            <w:r>
              <w:rPr>
                <w:rFonts w:ascii="Calibri" w:hAnsi="Calibri"/>
                <w:color w:val="1F2328"/>
                <w:sz w:val="20"/>
              </w:rPr>
              <w:t>Medium</w:t>
            </w:r>
          </w:p>
        </w:tc>
        <w:tc>
          <w:tcPr>
            <w:tcW w:type="dxa" w:w="3118"/>
            <w:shd w:val="clear" w:color="auto" w:fill="F7F8FA"/>
            <w:vAlign w:val="center"/>
          </w:tcPr>
          <w:p>
            <w:pPr>
              <w:jc w:val="center"/>
              <w:spacing w:before="0" w:after="40"/>
            </w:pPr>
            <w:r>
              <w:rPr>
                <w:rFonts w:ascii="Calibri" w:hAnsi="Calibri"/>
                <w:color w:val="1F2328"/>
                <w:sz w:val="20"/>
              </w:rPr>
              <w:t>30-60%</w:t>
            </w:r>
          </w:p>
        </w:tc>
        <w:tc>
          <w:tcPr>
            <w:tcW w:type="dxa" w:w="4819"/>
            <w:shd w:val="clear" w:color="auto" w:fill="F7F8FA"/>
            <w:vAlign w:val="center"/>
          </w:tcPr>
          <w:p>
            <w:pPr>
              <w:jc w:val="center"/>
              <w:spacing w:before="0" w:after="40"/>
            </w:pPr>
            <w:r>
              <w:rPr>
                <w:rFonts w:ascii="Calibri" w:hAnsi="Calibri"/>
                <w:color w:val="1F2328"/>
                <w:sz w:val="20"/>
              </w:rPr>
              <w:t>Targeted low-cost nudge (email, app notification, value reminder)</w:t>
            </w:r>
          </w:p>
        </w:tc>
      </w:tr>
      <w:tr>
        <w:tc>
          <w:tcPr>
            <w:tcW w:type="dxa" w:w="1417"/>
            <w:shd w:val="clear" w:color="auto" w:fill="FFFFFF"/>
            <w:vAlign w:val="center"/>
          </w:tcPr>
          <w:p>
            <w:pPr>
              <w:jc w:val="center"/>
              <w:spacing w:before="0" w:after="40"/>
            </w:pPr>
            <w:r>
              <w:rPr>
                <w:rFonts w:ascii="Calibri" w:hAnsi="Calibri"/>
                <w:color w:val="1F2328"/>
                <w:sz w:val="20"/>
              </w:rPr>
              <w:t>High</w:t>
            </w:r>
          </w:p>
        </w:tc>
        <w:tc>
          <w:tcPr>
            <w:tcW w:type="dxa" w:w="3118"/>
            <w:shd w:val="clear" w:color="auto" w:fill="FFFFFF"/>
            <w:vAlign w:val="center"/>
          </w:tcPr>
          <w:p>
            <w:pPr>
              <w:jc w:val="center"/>
              <w:spacing w:before="0" w:after="40"/>
            </w:pPr>
            <w:r>
              <w:rPr>
                <w:rFonts w:ascii="Calibri" w:hAnsi="Calibri"/>
                <w:color w:val="1F2328"/>
                <w:sz w:val="20"/>
              </w:rPr>
              <w:t>&gt; 60%</w:t>
            </w:r>
          </w:p>
        </w:tc>
        <w:tc>
          <w:tcPr>
            <w:tcW w:type="dxa" w:w="4819"/>
            <w:shd w:val="clear" w:color="auto" w:fill="FFFFFF"/>
            <w:vAlign w:val="center"/>
          </w:tcPr>
          <w:p>
            <w:pPr>
              <w:jc w:val="center"/>
              <w:spacing w:before="0" w:after="40"/>
            </w:pPr>
            <w:r>
              <w:rPr>
                <w:rFonts w:ascii="Calibri" w:hAnsi="Calibri"/>
                <w:color w:val="1F2328"/>
                <w:sz w:val="20"/>
              </w:rPr>
              <w:t>Priority outreach: personal contact + tailored retention offer</w:t>
            </w:r>
          </w:p>
        </w:tc>
      </w:tr>
    </w:tbl>
    <w:p/>
    <w:p>
      <w:pPr>
        <w:spacing w:before="120" w:after="120"/>
        <w:pBdr>
          <w:bottom w:val="single" w:sz="6" w:space="1" w:color="1F2328"/>
        </w:pBdr>
      </w:pPr>
      <w:r>
        <w:rPr>
          <w:rFonts w:ascii="Calibri" w:hAnsi="Calibri"/>
          <w:b/>
          <w:color w:val="1F2328"/>
          <w:sz w:val="32"/>
        </w:rPr>
        <w:t>6.3  Top-20% Targeting Result  (OOF Scores)</w:t>
      </w:r>
    </w:p>
    <w:tbl>
      <w:tblPr>
        <w:tblW w:type="auto" w:w="0"/>
        <w:jc w:val="left"/>
        <w:tblLook w:firstColumn="1" w:firstRow="1" w:lastColumn="0" w:lastRow="0" w:noHBand="0" w:noVBand="1" w:val="04A0"/>
      </w:tblPr>
      <w:tblGrid>
        <w:gridCol w:w="4680"/>
        <w:gridCol w:w="4680"/>
      </w:tblGrid>
      <w:tr>
        <w:tc>
          <w:tcPr>
            <w:tcW w:type="dxa" w:w="4535"/>
            <w:shd w:val="clear" w:color="auto" w:fill="1F2328"/>
            <w:vAlign w:val="center"/>
          </w:tcPr>
          <w:p>
            <w:pPr>
              <w:jc w:val="center"/>
              <w:spacing w:before="0" w:after="40"/>
            </w:pPr>
            <w:r>
              <w:rPr>
                <w:rFonts w:ascii="Calibri" w:hAnsi="Calibri"/>
                <w:b/>
                <w:color w:val="FFFFFF"/>
                <w:sz w:val="20"/>
              </w:rPr>
              <w:t>Parameter</w:t>
            </w:r>
          </w:p>
        </w:tc>
        <w:tc>
          <w:tcPr>
            <w:tcW w:type="dxa" w:w="4535"/>
            <w:shd w:val="clear" w:color="auto" w:fill="1F2328"/>
            <w:vAlign w:val="center"/>
          </w:tcPr>
          <w:p>
            <w:pPr>
              <w:jc w:val="center"/>
              <w:spacing w:before="0" w:after="40"/>
            </w:pPr>
            <w:r>
              <w:rPr>
                <w:rFonts w:ascii="Calibri" w:hAnsi="Calibri"/>
                <w:b/>
                <w:color w:val="FFFFFF"/>
                <w:sz w:val="20"/>
              </w:rPr>
              <w:t>Value</w:t>
            </w:r>
          </w:p>
        </w:tc>
      </w:tr>
      <w:tr>
        <w:tc>
          <w:tcPr>
            <w:tcW w:type="dxa" w:w="4535"/>
            <w:shd w:val="clear" w:color="auto" w:fill="FFFFFF"/>
            <w:vAlign w:val="center"/>
          </w:tcPr>
          <w:p>
            <w:pPr>
              <w:jc w:val="center"/>
              <w:spacing w:before="0" w:after="40"/>
            </w:pPr>
            <w:r>
              <w:rPr>
                <w:rFonts w:ascii="Calibri" w:hAnsi="Calibri"/>
                <w:color w:val="1F2328"/>
                <w:sz w:val="20"/>
              </w:rPr>
              <w:t>Customers targeted (top 20%)</w:t>
            </w:r>
          </w:p>
        </w:tc>
        <w:tc>
          <w:tcPr>
            <w:tcW w:type="dxa" w:w="4535"/>
            <w:shd w:val="clear" w:color="auto" w:fill="FFFFFF"/>
            <w:vAlign w:val="center"/>
          </w:tcPr>
          <w:p>
            <w:pPr>
              <w:jc w:val="center"/>
              <w:spacing w:before="0" w:after="40"/>
            </w:pPr>
            <w:r>
              <w:rPr>
                <w:rFonts w:ascii="Calibri" w:hAnsi="Calibri"/>
                <w:color w:val="1F2328"/>
                <w:sz w:val="20"/>
              </w:rPr>
              <w:t>1,408</w:t>
            </w:r>
          </w:p>
        </w:tc>
      </w:tr>
      <w:tr>
        <w:tc>
          <w:tcPr>
            <w:tcW w:type="dxa" w:w="4535"/>
            <w:shd w:val="clear" w:color="auto" w:fill="F7F8FA"/>
            <w:vAlign w:val="center"/>
          </w:tcPr>
          <w:p>
            <w:pPr>
              <w:jc w:val="center"/>
              <w:spacing w:before="0" w:after="40"/>
            </w:pPr>
            <w:r>
              <w:rPr>
                <w:rFonts w:ascii="Calibri" w:hAnsi="Calibri"/>
                <w:color w:val="1F2328"/>
                <w:sz w:val="20"/>
              </w:rPr>
              <w:t>Actual churners within target</w:t>
            </w:r>
          </w:p>
        </w:tc>
        <w:tc>
          <w:tcPr>
            <w:tcW w:type="dxa" w:w="4535"/>
            <w:shd w:val="clear" w:color="auto" w:fill="F7F8FA"/>
            <w:vAlign w:val="center"/>
          </w:tcPr>
          <w:p>
            <w:pPr>
              <w:jc w:val="center"/>
              <w:spacing w:before="0" w:after="40"/>
            </w:pPr>
            <w:r>
              <w:rPr>
                <w:rFonts w:ascii="Calibri" w:hAnsi="Calibri"/>
                <w:color w:val="1F2328"/>
                <w:sz w:val="20"/>
              </w:rPr>
              <w:t>954</w:t>
            </w:r>
          </w:p>
        </w:tc>
      </w:tr>
      <w:tr>
        <w:tc>
          <w:tcPr>
            <w:tcW w:type="dxa" w:w="4535"/>
            <w:shd w:val="clear" w:color="auto" w:fill="FFFFFF"/>
            <w:vAlign w:val="center"/>
          </w:tcPr>
          <w:p>
            <w:pPr>
              <w:jc w:val="center"/>
              <w:spacing w:before="0" w:after="40"/>
            </w:pPr>
            <w:r>
              <w:rPr>
                <w:rFonts w:ascii="Calibri" w:hAnsi="Calibri"/>
                <w:color w:val="1F2328"/>
                <w:sz w:val="20"/>
              </w:rPr>
              <w:t>Total actual churners</w:t>
            </w:r>
          </w:p>
        </w:tc>
        <w:tc>
          <w:tcPr>
            <w:tcW w:type="dxa" w:w="4535"/>
            <w:shd w:val="clear" w:color="auto" w:fill="FFFFFF"/>
            <w:vAlign w:val="center"/>
          </w:tcPr>
          <w:p>
            <w:pPr>
              <w:jc w:val="center"/>
              <w:spacing w:before="0" w:after="40"/>
            </w:pPr>
            <w:r>
              <w:rPr>
                <w:rFonts w:ascii="Calibri" w:hAnsi="Calibri"/>
                <w:color w:val="1F2328"/>
                <w:sz w:val="20"/>
              </w:rPr>
              <w:t>1,869</w:t>
            </w:r>
          </w:p>
        </w:tc>
      </w:tr>
      <w:tr>
        <w:tc>
          <w:tcPr>
            <w:tcW w:type="dxa" w:w="4535"/>
            <w:shd w:val="clear" w:color="auto" w:fill="F7F8FA"/>
            <w:vAlign w:val="center"/>
          </w:tcPr>
          <w:p>
            <w:pPr>
              <w:jc w:val="center"/>
              <w:spacing w:before="0" w:after="40"/>
            </w:pPr>
            <w:r>
              <w:rPr>
                <w:rFonts w:ascii="Calibri" w:hAnsi="Calibri"/>
                <w:color w:val="1F2328"/>
                <w:sz w:val="20"/>
              </w:rPr>
              <w:t>Capture rate</w:t>
            </w:r>
          </w:p>
        </w:tc>
        <w:tc>
          <w:tcPr>
            <w:tcW w:type="dxa" w:w="4535"/>
            <w:shd w:val="clear" w:color="auto" w:fill="F7F8FA"/>
            <w:vAlign w:val="center"/>
          </w:tcPr>
          <w:p>
            <w:pPr>
              <w:jc w:val="center"/>
              <w:spacing w:before="0" w:after="40"/>
            </w:pPr>
            <w:r>
              <w:rPr>
                <w:rFonts w:ascii="Calibri" w:hAnsi="Calibri"/>
                <w:color w:val="1F2328"/>
                <w:sz w:val="20"/>
              </w:rPr>
              <w:t>51.0%</w:t>
            </w:r>
          </w:p>
        </w:tc>
      </w:tr>
    </w:tbl>
    <w:p/>
    <w:p>
      <w:pPr>
        <w:spacing w:before="120" w:after="120"/>
        <w:pBdr>
          <w:bottom w:val="single" w:sz="6" w:space="1" w:color="1F2328"/>
        </w:pBdr>
      </w:pPr>
      <w:r>
        <w:rPr>
          <w:rFonts w:ascii="Calibri" w:hAnsi="Calibri"/>
          <w:b/>
          <w:color w:val="1F2328"/>
          <w:sz w:val="32"/>
        </w:rPr>
        <w:t>6.4  Churn Probability Distribution  (OOF Scores)</w:t>
      </w:r>
    </w:p>
    <w:p>
      <w:pPr>
        <w:jc w:val="center"/>
      </w:pPr>
      <w:r>
        <w:drawing>
          <wp:inline xmlns:a="http://schemas.openxmlformats.org/drawingml/2006/main" xmlns:pic="http://schemas.openxmlformats.org/drawingml/2006/picture">
            <wp:extent cx="5400000" cy="2364018"/>
            <wp:docPr id="9" name="Picture 9"/>
            <wp:cNvGraphicFramePr>
              <a:graphicFrameLocks noChangeAspect="1"/>
            </wp:cNvGraphicFramePr>
            <a:graphic>
              <a:graphicData uri="http://schemas.openxmlformats.org/drawingml/2006/picture">
                <pic:pic>
                  <pic:nvPicPr>
                    <pic:cNvPr id="0" name="chart9_risk_dist.png"/>
                    <pic:cNvPicPr/>
                  </pic:nvPicPr>
                  <pic:blipFill>
                    <a:blip r:embed="rId17"/>
                    <a:stretch>
                      <a:fillRect/>
                    </a:stretch>
                  </pic:blipFill>
                  <pic:spPr>
                    <a:xfrm>
                      <a:off x="0" y="0"/>
                      <a:ext cx="5400000" cy="2364018"/>
                    </a:xfrm>
                    <a:prstGeom prst="rect"/>
                  </pic:spPr>
                </pic:pic>
              </a:graphicData>
            </a:graphic>
          </wp:inline>
        </w:drawing>
      </w:r>
    </w:p>
    <w:p>
      <w:pPr>
        <w:jc w:val="center"/>
        <w:spacing w:before="40" w:after="160"/>
      </w:pPr>
      <w:r>
        <w:rPr>
          <w:rFonts w:ascii="Calibri" w:hAnsi="Calibri"/>
          <w:i/>
          <w:color w:val="57606A"/>
          <w:sz w:val="18"/>
        </w:rPr>
        <w:t>Figure 9. 5-fold OOF churn probability scores by actual outcome. Thresholds at 30% and 60% define operational risk tiers.</w:t>
      </w:r>
    </w:p>
    <w:p>
      <w:r>
        <w:br w:type="page"/>
      </w:r>
    </w:p>
    <w:p>
      <w:pPr>
        <w:spacing w:before="120" w:after="120"/>
        <w:pBdr>
          <w:bottom w:val="single" w:sz="6" w:space="1" w:color="1F2328"/>
        </w:pBdr>
      </w:pPr>
      <w:r>
        <w:rPr>
          <w:rFonts w:ascii="Calibri" w:hAnsi="Calibri"/>
          <w:b/>
          <w:color w:val="1F2328"/>
          <w:sz w:val="32"/>
        </w:rPr>
        <w:t>6.5  Illustrative Scenario Analysis</w:t>
      </w:r>
    </w:p>
    <w:tbl>
      <w:tblPr>
        <w:tblW w:type="auto" w:w="0"/>
        <w:jc w:val="left"/>
        <w:tblLook w:firstColumn="1" w:firstRow="1" w:lastColumn="0" w:lastRow="0" w:noHBand="0" w:noVBand="1" w:val="04A0"/>
      </w:tblPr>
      <w:tblGrid>
        <w:gridCol w:w="9360"/>
      </w:tblGrid>
      <w:tr>
        <w:tc>
          <w:tcPr>
            <w:tcW w:type="dxa" w:w="9360"/>
            <w:shd w:val="clear" w:color="auto" w:fill="FFF8E6"/>
            <w:tcBorders>
              <w:top w:val="single" w:sz="8" w:space="0" w:color="F5C842"/>
              <w:bottom w:val="single" w:sz="8" w:space="0" w:color="F5C842"/>
              <w:left w:val="single" w:sz="24" w:space="0" w:color="F5C842"/>
              <w:right w:val="single" w:sz="8" w:space="0" w:color="F5C842"/>
            </w:tcBorders>
          </w:tcPr>
          <w:p>
            <w:pPr>
              <w:jc w:val="left"/>
              <w:spacing w:before="60" w:after="60"/>
              <w:ind w:left="120"/>
            </w:pPr>
            <w:r>
              <w:rPr>
                <w:rFonts w:ascii="Calibri" w:hAnsi="Calibri"/>
                <w:b/>
                <w:color w:val="1F2328"/>
                <w:sz w:val="21"/>
              </w:rPr>
              <w:t xml:space="preserve">Disclaimer:  </w:t>
            </w:r>
            <w:r>
              <w:rPr>
                <w:rFonts w:ascii="Calibri" w:hAnsi="Calibri"/>
                <w:color w:val="1F2328"/>
                <w:sz w:val="21"/>
              </w:rPr>
              <w:t>IMPORTANT: The dataset contains no retention cost, offer acceptance rate, LTV, or causal intervention data. The figures below use assumed unit economics to illustrate the financial logic of risk-based targeting. These are scenario projections -- NOT empirical results. Sensitivity analysis against these parameters is essential before operational deployment.</w:t>
            </w:r>
          </w:p>
        </w:tc>
      </w:tr>
    </w:tbl>
    <w:p/>
    <w:p/>
    <w:tbl>
      <w:tblPr>
        <w:tblW w:type="auto" w:w="0"/>
        <w:jc w:val="left"/>
        <w:tblLook w:firstColumn="1" w:firstRow="1" w:lastColumn="0" w:lastRow="0" w:noHBand="0" w:noVBand="1" w:val="04A0"/>
      </w:tblPr>
      <w:tblGrid>
        <w:gridCol w:w="3120"/>
        <w:gridCol w:w="3120"/>
        <w:gridCol w:w="3120"/>
      </w:tblGrid>
      <w:tr>
        <w:tc>
          <w:tcPr>
            <w:tcW w:type="dxa" w:w="3969"/>
            <w:shd w:val="clear" w:color="auto" w:fill="1F2328"/>
            <w:vAlign w:val="center"/>
          </w:tcPr>
          <w:p>
            <w:pPr>
              <w:jc w:val="center"/>
              <w:spacing w:before="0" w:after="40"/>
            </w:pPr>
            <w:r>
              <w:rPr>
                <w:rFonts w:ascii="Calibri" w:hAnsi="Calibri"/>
                <w:b/>
                <w:color w:val="FFFFFF"/>
                <w:sz w:val="20"/>
              </w:rPr>
              <w:t>Assumption / Projection</w:t>
            </w:r>
          </w:p>
        </w:tc>
        <w:tc>
          <w:tcPr>
            <w:tcW w:type="dxa" w:w="2551"/>
            <w:shd w:val="clear" w:color="auto" w:fill="1F2328"/>
            <w:vAlign w:val="center"/>
          </w:tcPr>
          <w:p>
            <w:pPr>
              <w:jc w:val="center"/>
              <w:spacing w:before="0" w:after="40"/>
            </w:pPr>
            <w:r>
              <w:rPr>
                <w:rFonts w:ascii="Calibri" w:hAnsi="Calibri"/>
                <w:b/>
                <w:color w:val="FFFFFF"/>
                <w:sz w:val="20"/>
              </w:rPr>
              <w:t>Value</w:t>
            </w:r>
          </w:p>
        </w:tc>
        <w:tc>
          <w:tcPr>
            <w:tcW w:type="dxa" w:w="2551"/>
            <w:shd w:val="clear" w:color="auto" w:fill="1F2328"/>
            <w:vAlign w:val="center"/>
          </w:tcPr>
          <w:p>
            <w:pPr>
              <w:jc w:val="center"/>
              <w:spacing w:before="0" w:after="40"/>
            </w:pPr>
            <w:r>
              <w:rPr>
                <w:rFonts w:ascii="Calibri" w:hAnsi="Calibri"/>
                <w:b/>
                <w:color w:val="FFFFFF"/>
                <w:sz w:val="20"/>
              </w:rPr>
              <w:t>Type</w:t>
            </w:r>
          </w:p>
        </w:tc>
      </w:tr>
      <w:tr>
        <w:tc>
          <w:tcPr>
            <w:tcW w:type="dxa" w:w="3969"/>
            <w:shd w:val="clear" w:color="auto" w:fill="FFFFFF"/>
            <w:vAlign w:val="center"/>
          </w:tcPr>
          <w:p>
            <w:pPr>
              <w:jc w:val="center"/>
              <w:spacing w:before="0" w:after="40"/>
            </w:pPr>
            <w:r>
              <w:rPr>
                <w:rFonts w:ascii="Calibri" w:hAnsi="Calibri"/>
                <w:color w:val="1F2328"/>
                <w:sz w:val="20"/>
              </w:rPr>
              <w:t>Outreach cost per customer</w:t>
            </w:r>
          </w:p>
        </w:tc>
        <w:tc>
          <w:tcPr>
            <w:tcW w:type="dxa" w:w="2551"/>
            <w:shd w:val="clear" w:color="auto" w:fill="FFFFFF"/>
            <w:vAlign w:val="center"/>
          </w:tcPr>
          <w:p>
            <w:pPr>
              <w:jc w:val="center"/>
              <w:spacing w:before="0" w:after="40"/>
            </w:pPr>
            <w:r>
              <w:rPr>
                <w:rFonts w:ascii="Calibri" w:hAnsi="Calibri"/>
                <w:color w:val="1F2328"/>
                <w:sz w:val="20"/>
              </w:rPr>
              <w:t>$30</w:t>
            </w:r>
          </w:p>
        </w:tc>
        <w:tc>
          <w:tcPr>
            <w:tcW w:type="dxa" w:w="2551"/>
            <w:shd w:val="clear" w:color="auto" w:fill="FFFFFF"/>
            <w:vAlign w:val="center"/>
          </w:tcPr>
          <w:p>
            <w:pPr>
              <w:jc w:val="center"/>
              <w:spacing w:before="0" w:after="40"/>
            </w:pPr>
            <w:r>
              <w:rPr>
                <w:rFonts w:ascii="Calibri" w:hAnsi="Calibri"/>
                <w:color w:val="1F2328"/>
                <w:sz w:val="20"/>
              </w:rPr>
              <w:t>ASSUMED</w:t>
            </w:r>
          </w:p>
        </w:tc>
      </w:tr>
      <w:tr>
        <w:tc>
          <w:tcPr>
            <w:tcW w:type="dxa" w:w="3969"/>
            <w:shd w:val="clear" w:color="auto" w:fill="F7F8FA"/>
            <w:vAlign w:val="center"/>
          </w:tcPr>
          <w:p>
            <w:pPr>
              <w:jc w:val="center"/>
              <w:spacing w:before="0" w:after="40"/>
            </w:pPr>
            <w:r>
              <w:rPr>
                <w:rFonts w:ascii="Calibri" w:hAnsi="Calibri"/>
                <w:color w:val="1F2328"/>
                <w:sz w:val="20"/>
              </w:rPr>
              <w:t>Offer acceptance rate</w:t>
            </w:r>
          </w:p>
        </w:tc>
        <w:tc>
          <w:tcPr>
            <w:tcW w:type="dxa" w:w="2551"/>
            <w:shd w:val="clear" w:color="auto" w:fill="F7F8FA"/>
            <w:vAlign w:val="center"/>
          </w:tcPr>
          <w:p>
            <w:pPr>
              <w:jc w:val="center"/>
              <w:spacing w:before="0" w:after="40"/>
            </w:pPr>
            <w:r>
              <w:rPr>
                <w:rFonts w:ascii="Calibri" w:hAnsi="Calibri"/>
                <w:color w:val="1F2328"/>
                <w:sz w:val="20"/>
              </w:rPr>
              <w:t>30%</w:t>
            </w:r>
          </w:p>
        </w:tc>
        <w:tc>
          <w:tcPr>
            <w:tcW w:type="dxa" w:w="2551"/>
            <w:shd w:val="clear" w:color="auto" w:fill="F7F8FA"/>
            <w:vAlign w:val="center"/>
          </w:tcPr>
          <w:p>
            <w:pPr>
              <w:jc w:val="center"/>
              <w:spacing w:before="0" w:after="40"/>
            </w:pPr>
            <w:r>
              <w:rPr>
                <w:rFonts w:ascii="Calibri" w:hAnsi="Calibri"/>
                <w:color w:val="1F2328"/>
                <w:sz w:val="20"/>
              </w:rPr>
              <w:t>ASSUMED</w:t>
            </w:r>
          </w:p>
        </w:tc>
      </w:tr>
      <w:tr>
        <w:tc>
          <w:tcPr>
            <w:tcW w:type="dxa" w:w="3969"/>
            <w:shd w:val="clear" w:color="auto" w:fill="FFFFFF"/>
            <w:vAlign w:val="center"/>
          </w:tcPr>
          <w:p>
            <w:pPr>
              <w:jc w:val="center"/>
              <w:spacing w:before="0" w:after="40"/>
            </w:pPr>
            <w:r>
              <w:rPr>
                <w:rFonts w:ascii="Calibri" w:hAnsi="Calibri"/>
                <w:color w:val="1F2328"/>
                <w:sz w:val="20"/>
              </w:rPr>
              <w:t>Avg. LTV saved per retained cust</w:t>
            </w:r>
          </w:p>
        </w:tc>
        <w:tc>
          <w:tcPr>
            <w:tcW w:type="dxa" w:w="2551"/>
            <w:shd w:val="clear" w:color="auto" w:fill="FFFFFF"/>
            <w:vAlign w:val="center"/>
          </w:tcPr>
          <w:p>
            <w:pPr>
              <w:jc w:val="center"/>
              <w:spacing w:before="0" w:after="40"/>
            </w:pPr>
            <w:r>
              <w:rPr>
                <w:rFonts w:ascii="Calibri" w:hAnsi="Calibri"/>
                <w:color w:val="1F2328"/>
                <w:sz w:val="20"/>
              </w:rPr>
              <w:t>$1,800</w:t>
            </w:r>
          </w:p>
        </w:tc>
        <w:tc>
          <w:tcPr>
            <w:tcW w:type="dxa" w:w="2551"/>
            <w:shd w:val="clear" w:color="auto" w:fill="FFFFFF"/>
            <w:vAlign w:val="center"/>
          </w:tcPr>
          <w:p>
            <w:pPr>
              <w:jc w:val="center"/>
              <w:spacing w:before="0" w:after="40"/>
            </w:pPr>
            <w:r>
              <w:rPr>
                <w:rFonts w:ascii="Calibri" w:hAnsi="Calibri"/>
                <w:color w:val="1F2328"/>
                <w:sz w:val="20"/>
              </w:rPr>
              <w:t>ASSUMED</w:t>
            </w:r>
          </w:p>
        </w:tc>
      </w:tr>
      <w:tr>
        <w:tc>
          <w:tcPr>
            <w:tcW w:type="dxa" w:w="3969"/>
            <w:shd w:val="clear" w:color="auto" w:fill="F7F8FA"/>
            <w:vAlign w:val="center"/>
          </w:tcPr>
          <w:p>
            <w:pPr>
              <w:jc w:val="center"/>
              <w:spacing w:before="0" w:after="40"/>
            </w:pPr>
            <w:r>
              <w:rPr>
                <w:rFonts w:ascii="Calibri" w:hAnsi="Calibri"/>
                <w:color w:val="1F2328"/>
                <w:sz w:val="20"/>
              </w:rPr>
              <w:t>Total outreach budget (top 20%)</w:t>
            </w:r>
          </w:p>
        </w:tc>
        <w:tc>
          <w:tcPr>
            <w:tcW w:type="dxa" w:w="2551"/>
            <w:shd w:val="clear" w:color="auto" w:fill="F7F8FA"/>
            <w:vAlign w:val="center"/>
          </w:tcPr>
          <w:p>
            <w:pPr>
              <w:jc w:val="center"/>
              <w:spacing w:before="0" w:after="40"/>
            </w:pPr>
            <w:r>
              <w:rPr>
                <w:rFonts w:ascii="Calibri" w:hAnsi="Calibri"/>
                <w:color w:val="1F2328"/>
                <w:sz w:val="20"/>
              </w:rPr>
              <w:t>$42,240</w:t>
            </w:r>
          </w:p>
        </w:tc>
        <w:tc>
          <w:tcPr>
            <w:tcW w:type="dxa" w:w="2551"/>
            <w:shd w:val="clear" w:color="auto" w:fill="F7F8FA"/>
            <w:vAlign w:val="center"/>
          </w:tcPr>
          <w:p>
            <w:pPr>
              <w:jc w:val="center"/>
              <w:spacing w:before="0" w:after="40"/>
            </w:pPr>
            <w:r>
              <w:rPr>
                <w:rFonts w:ascii="Calibri" w:hAnsi="Calibri"/>
                <w:color w:val="1F2328"/>
                <w:sz w:val="20"/>
              </w:rPr>
              <w:t>Illustrative</w:t>
            </w:r>
          </w:p>
        </w:tc>
      </w:tr>
      <w:tr>
        <w:tc>
          <w:tcPr>
            <w:tcW w:type="dxa" w:w="3969"/>
            <w:shd w:val="clear" w:color="auto" w:fill="FFFFFF"/>
            <w:vAlign w:val="center"/>
          </w:tcPr>
          <w:p>
            <w:pPr>
              <w:jc w:val="center"/>
              <w:spacing w:before="0" w:after="40"/>
            </w:pPr>
            <w:r>
              <w:rPr>
                <w:rFonts w:ascii="Calibri" w:hAnsi="Calibri"/>
                <w:color w:val="1F2328"/>
                <w:sz w:val="20"/>
              </w:rPr>
              <w:t>Revenue protected (illustrative)</w:t>
            </w:r>
          </w:p>
        </w:tc>
        <w:tc>
          <w:tcPr>
            <w:tcW w:type="dxa" w:w="2551"/>
            <w:shd w:val="clear" w:color="auto" w:fill="FFFFFF"/>
            <w:vAlign w:val="center"/>
          </w:tcPr>
          <w:p>
            <w:pPr>
              <w:jc w:val="center"/>
              <w:spacing w:before="0" w:after="40"/>
            </w:pPr>
            <w:r>
              <w:rPr>
                <w:rFonts w:ascii="Calibri" w:hAnsi="Calibri"/>
                <w:color w:val="1F2328"/>
                <w:sz w:val="20"/>
              </w:rPr>
              <w:t>$514,620</w:t>
            </w:r>
          </w:p>
        </w:tc>
        <w:tc>
          <w:tcPr>
            <w:tcW w:type="dxa" w:w="2551"/>
            <w:shd w:val="clear" w:color="auto" w:fill="FFFFFF"/>
            <w:vAlign w:val="center"/>
          </w:tcPr>
          <w:p>
            <w:pPr>
              <w:jc w:val="center"/>
              <w:spacing w:before="0" w:after="40"/>
            </w:pPr>
            <w:r>
              <w:rPr>
                <w:rFonts w:ascii="Calibri" w:hAnsi="Calibri"/>
                <w:color w:val="1F2328"/>
                <w:sz w:val="20"/>
              </w:rPr>
              <w:t>Illustrative</w:t>
            </w:r>
          </w:p>
        </w:tc>
      </w:tr>
      <w:tr>
        <w:tc>
          <w:tcPr>
            <w:tcW w:type="dxa" w:w="3969"/>
            <w:shd w:val="clear" w:color="auto" w:fill="F7F8FA"/>
            <w:vAlign w:val="center"/>
          </w:tcPr>
          <w:p>
            <w:pPr>
              <w:jc w:val="center"/>
              <w:spacing w:before="0" w:after="40"/>
            </w:pPr>
            <w:r>
              <w:rPr>
                <w:rFonts w:ascii="Calibri" w:hAnsi="Calibri"/>
                <w:color w:val="1F2328"/>
                <w:sz w:val="20"/>
              </w:rPr>
              <w:t>Net ROI (illustrative)</w:t>
            </w:r>
          </w:p>
        </w:tc>
        <w:tc>
          <w:tcPr>
            <w:tcW w:type="dxa" w:w="2551"/>
            <w:shd w:val="clear" w:color="auto" w:fill="F7F8FA"/>
            <w:vAlign w:val="center"/>
          </w:tcPr>
          <w:p>
            <w:pPr>
              <w:jc w:val="center"/>
              <w:spacing w:before="0" w:after="40"/>
            </w:pPr>
            <w:r>
              <w:rPr>
                <w:rFonts w:ascii="Calibri" w:hAnsi="Calibri"/>
                <w:color w:val="1F2328"/>
                <w:sz w:val="20"/>
              </w:rPr>
              <w:t>~1,119%</w:t>
            </w:r>
          </w:p>
        </w:tc>
        <w:tc>
          <w:tcPr>
            <w:tcW w:type="dxa" w:w="2551"/>
            <w:shd w:val="clear" w:color="auto" w:fill="F7F8FA"/>
            <w:vAlign w:val="center"/>
          </w:tcPr>
          <w:p>
            <w:pPr>
              <w:jc w:val="center"/>
              <w:spacing w:before="0" w:after="40"/>
            </w:pPr>
            <w:r>
              <w:rPr>
                <w:rFonts w:ascii="Calibri" w:hAnsi="Calibri"/>
                <w:color w:val="1F2328"/>
                <w:sz w:val="20"/>
              </w:rPr>
              <w:t>Illustrative</w:t>
            </w:r>
          </w:p>
        </w:tc>
      </w:tr>
    </w:tbl>
    <w:p/>
    <w:p>
      <w:pPr>
        <w:spacing w:before="120" w:after="120"/>
        <w:pBdr>
          <w:bottom w:val="single" w:sz="6" w:space="1" w:color="1F2328"/>
        </w:pBdr>
      </w:pPr>
      <w:r>
        <w:rPr>
          <w:rFonts w:ascii="Calibri" w:hAnsi="Calibri"/>
          <w:b/>
          <w:color w:val="1F2328"/>
          <w:sz w:val="32"/>
        </w:rPr>
        <w:t>6.6  Five Suggested Risk Mitigation Strategies</w:t>
      </w:r>
    </w:p>
    <w:p>
      <w:pPr>
        <w:spacing w:before="120" w:after="120"/>
      </w:pPr>
      <w:r>
        <w:rPr>
          <w:rFonts w:ascii="Calibri" w:hAnsi="Calibri"/>
          <w:b/>
          <w:color w:val="7C5CD8"/>
          <w:sz w:val="26"/>
        </w:rPr>
        <w:t>Strategy 1  --  Month-to-Month Contract Conversion</w:t>
      </w:r>
    </w:p>
    <w:p>
      <w:pPr>
        <w:spacing w:before="0" w:after="80"/>
      </w:pPr>
      <w:r>
        <w:rPr>
          <w:rFonts w:ascii="Calibri" w:hAnsi="Calibri"/>
          <w:i w:val="0"/>
          <w:color w:val="1F2328"/>
          <w:sz w:val="21"/>
        </w:rPr>
        <w:t>Suggested action to consider: Offer discounted annual contract upgrades to top-risk M2M customers in months 1-6 of tenure (e.g., 15% off first 3 billing cycles). Dataset evidence: M2M customers churn at 42.7% vs. 2.8% for Two-year contracts (39.9 pp delta -- correlation, causality unconfirmed). Effectiveness would need to be measured via a controlled pilot.</w:t>
      </w:r>
    </w:p>
    <w:p>
      <w:pPr>
        <w:spacing w:before="120" w:after="120"/>
      </w:pPr>
      <w:r>
        <w:rPr>
          <w:rFonts w:ascii="Calibri" w:hAnsi="Calibri"/>
          <w:b/>
          <w:color w:val="7C5CD8"/>
          <w:sz w:val="26"/>
        </w:rPr>
        <w:t>Strategy 2  --  Fiber Optic Value Assurance Programme</w:t>
      </w:r>
    </w:p>
    <w:p>
      <w:pPr>
        <w:spacing w:before="0" w:after="80"/>
      </w:pPr>
      <w:r>
        <w:rPr>
          <w:rFonts w:ascii="Calibri" w:hAnsi="Calibri"/>
          <w:i w:val="0"/>
          <w:color w:val="1F2328"/>
          <w:sz w:val="21"/>
        </w:rPr>
        <w:t>Suggested action to consider: Proactive service quality call + 3-month free add-on (OnlineSecurity or TechSupport) for top-risk Fiber Optic subscribers before their contract renewal window. Proposed mechanism: demonstrating tangible value to reduce price-driven comparison shopping. No causal claim is made; A/B testing recommended.</w:t>
      </w:r>
    </w:p>
    <w:p>
      <w:pPr>
        <w:spacing w:before="120" w:after="120"/>
      </w:pPr>
      <w:r>
        <w:rPr>
          <w:rFonts w:ascii="Calibri" w:hAnsi="Calibri"/>
          <w:b/>
          <w:color w:val="7C5CD8"/>
          <w:sz w:val="26"/>
        </w:rPr>
        <w:t>Strategy 3  --  Early Tenure Onboarding Intervention  (0-12 Months)</w:t>
      </w:r>
    </w:p>
    <w:p>
      <w:pPr>
        <w:spacing w:before="0" w:after="80"/>
      </w:pPr>
      <w:r>
        <w:rPr>
          <w:rFonts w:ascii="Calibri" w:hAnsi="Calibri"/>
          <w:i w:val="0"/>
          <w:color w:val="1F2328"/>
          <w:sz w:val="21"/>
        </w:rPr>
        <w:t>Suggested action to consider: Automated check-in workflow at month 3 for new subscribers scoring &gt;40% churn probability: usage review, service optimisation, loyalty points credit. Dataset evidence: 0-12 month tenure window shows the highest churn concentration. Early engagement is the suggested lowest-cost intervention point.</w:t>
      </w:r>
    </w:p>
    <w:p>
      <w:pPr>
        <w:spacing w:before="120" w:after="120"/>
      </w:pPr>
      <w:r>
        <w:rPr>
          <w:rFonts w:ascii="Calibri" w:hAnsi="Calibri"/>
          <w:b/>
          <w:color w:val="7C5CD8"/>
          <w:sz w:val="26"/>
        </w:rPr>
        <w:t>Strategy 4  --  Senior Citizen Digital Concierge Support</w:t>
      </w:r>
    </w:p>
    <w:p>
      <w:pPr>
        <w:spacing w:before="0" w:after="80"/>
      </w:pPr>
      <w:r>
        <w:rPr>
          <w:rFonts w:ascii="Calibri" w:hAnsi="Calibri"/>
          <w:i w:val="0"/>
          <w:color w:val="1F2328"/>
          <w:sz w:val="21"/>
        </w:rPr>
        <w:t>Suggested action to consider: Dedicated priority support tier (priority call routing, simplified billing) for Senior + Fiber Optic + electronic-payment customers. Dataset evidence: This cohort shows the highest observed churn rate. Proposed mechanism: reducing service-complexity friction. Effectiveness requires a controlled pilot.</w:t>
      </w:r>
    </w:p>
    <w:p>
      <w:pPr>
        <w:spacing w:before="120" w:after="120"/>
      </w:pPr>
      <w:r>
        <w:rPr>
          <w:rFonts w:ascii="Calibri" w:hAnsi="Calibri"/>
          <w:b/>
          <w:color w:val="7C5CD8"/>
          <w:sz w:val="26"/>
        </w:rPr>
        <w:t>Strategy 5  --  Electronic Check Auto-Pay Migration Incentive</w:t>
      </w:r>
    </w:p>
    <w:p>
      <w:pPr>
        <w:spacing w:before="0" w:after="80"/>
      </w:pPr>
      <w:r>
        <w:rPr>
          <w:rFonts w:ascii="Calibri" w:hAnsi="Calibri"/>
          <w:i w:val="0"/>
          <w:color w:val="1F2328"/>
          <w:sz w:val="21"/>
        </w:rPr>
        <w:t>Suggested action to consider: $5/month auto-pay credit for customers switching from electronic check to bank transfer or credit card auto-pay. Dataset evidence: Electronic check is the most common payment method among churned customers (correlation). A/B testing is recommended before broad rollout to confirm causal effect.</w:t>
      </w:r>
    </w:p>
    <w:p>
      <w:r>
        <w:br w:type="page"/>
      </w:r>
    </w:p>
    <w:p>
      <w:pPr>
        <w:spacing w:before="120" w:after="120"/>
        <w:pBdr>
          <w:bottom w:val="single" w:sz="6" w:space="1" w:color="3B82D4"/>
        </w:pBdr>
      </w:pPr>
      <w:r>
        <w:rPr>
          <w:rFonts w:ascii="Calibri" w:hAnsi="Calibri"/>
          <w:b/>
          <w:color w:val="3B82D4"/>
          <w:sz w:val="44"/>
        </w:rPr>
        <w:t>7.  Methodology Summary</w:t>
      </w:r>
    </w:p>
    <w:tbl>
      <w:tblPr>
        <w:tblW w:type="auto" w:w="0"/>
        <w:jc w:val="left"/>
        <w:tblLook w:firstColumn="1" w:firstRow="1" w:lastColumn="0" w:lastRow="0" w:noHBand="0" w:noVBand="1" w:val="04A0"/>
      </w:tblPr>
      <w:tblGrid>
        <w:gridCol w:w="2340"/>
        <w:gridCol w:w="2340"/>
        <w:gridCol w:w="2340"/>
        <w:gridCol w:w="2340"/>
      </w:tblGrid>
      <w:tr>
        <w:tc>
          <w:tcPr>
            <w:tcW w:type="dxa" w:w="1020"/>
            <w:shd w:val="clear" w:color="auto" w:fill="1F2328"/>
            <w:vAlign w:val="center"/>
          </w:tcPr>
          <w:p>
            <w:pPr>
              <w:jc w:val="center"/>
              <w:spacing w:before="0" w:after="40"/>
            </w:pPr>
            <w:r>
              <w:rPr>
                <w:rFonts w:ascii="Calibri" w:hAnsi="Calibri"/>
                <w:b/>
                <w:color w:val="FFFFFF"/>
                <w:sz w:val="20"/>
              </w:rPr>
              <w:t>Tier</w:t>
            </w:r>
          </w:p>
        </w:tc>
        <w:tc>
          <w:tcPr>
            <w:tcW w:type="dxa" w:w="1701"/>
            <w:shd w:val="clear" w:color="auto" w:fill="1F2328"/>
            <w:vAlign w:val="center"/>
          </w:tcPr>
          <w:p>
            <w:pPr>
              <w:jc w:val="center"/>
              <w:spacing w:before="0" w:after="40"/>
            </w:pPr>
            <w:r>
              <w:rPr>
                <w:rFonts w:ascii="Calibri" w:hAnsi="Calibri"/>
                <w:b/>
                <w:color w:val="FFFFFF"/>
                <w:sz w:val="20"/>
              </w:rPr>
              <w:t>Name</w:t>
            </w:r>
          </w:p>
        </w:tc>
        <w:tc>
          <w:tcPr>
            <w:tcW w:type="dxa" w:w="3118"/>
            <w:shd w:val="clear" w:color="auto" w:fill="1F2328"/>
            <w:vAlign w:val="center"/>
          </w:tcPr>
          <w:p>
            <w:pPr>
              <w:jc w:val="center"/>
              <w:spacing w:before="0" w:after="40"/>
            </w:pPr>
            <w:r>
              <w:rPr>
                <w:rFonts w:ascii="Calibri" w:hAnsi="Calibri"/>
                <w:b/>
                <w:color w:val="FFFFFF"/>
                <w:sz w:val="20"/>
              </w:rPr>
              <w:t>Question Answered</w:t>
            </w:r>
          </w:p>
        </w:tc>
        <w:tc>
          <w:tcPr>
            <w:tcW w:type="dxa" w:w="3685"/>
            <w:shd w:val="clear" w:color="auto" w:fill="1F2328"/>
            <w:vAlign w:val="center"/>
          </w:tcPr>
          <w:p>
            <w:pPr>
              <w:jc w:val="center"/>
              <w:spacing w:before="0" w:after="40"/>
            </w:pPr>
            <w:r>
              <w:rPr>
                <w:rFonts w:ascii="Calibri" w:hAnsi="Calibri"/>
                <w:b/>
                <w:color w:val="FFFFFF"/>
                <w:sz w:val="20"/>
              </w:rPr>
              <w:t>Key Output</w:t>
            </w:r>
          </w:p>
        </w:tc>
      </w:tr>
      <w:tr>
        <w:tc>
          <w:tcPr>
            <w:tcW w:type="dxa" w:w="1020"/>
            <w:shd w:val="clear" w:color="auto" w:fill="FFFFFF"/>
            <w:vAlign w:val="center"/>
          </w:tcPr>
          <w:p>
            <w:pPr>
              <w:jc w:val="center"/>
              <w:spacing w:before="0" w:after="40"/>
            </w:pPr>
            <w:r>
              <w:rPr>
                <w:rFonts w:ascii="Calibri" w:hAnsi="Calibri"/>
                <w:color w:val="1F2328"/>
                <w:sz w:val="20"/>
              </w:rPr>
              <w:t>Tier 0</w:t>
            </w:r>
          </w:p>
        </w:tc>
        <w:tc>
          <w:tcPr>
            <w:tcW w:type="dxa" w:w="1701"/>
            <w:shd w:val="clear" w:color="auto" w:fill="FFFFFF"/>
            <w:vAlign w:val="center"/>
          </w:tcPr>
          <w:p>
            <w:pPr>
              <w:jc w:val="center"/>
              <w:spacing w:before="0" w:after="40"/>
            </w:pPr>
            <w:r>
              <w:rPr>
                <w:rFonts w:ascii="Calibri" w:hAnsi="Calibri"/>
                <w:color w:val="1F2328"/>
                <w:sz w:val="20"/>
              </w:rPr>
              <w:t>Data Hygiene</w:t>
            </w:r>
          </w:p>
        </w:tc>
        <w:tc>
          <w:tcPr>
            <w:tcW w:type="dxa" w:w="3118"/>
            <w:shd w:val="clear" w:color="auto" w:fill="FFFFFF"/>
            <w:vAlign w:val="center"/>
          </w:tcPr>
          <w:p>
            <w:pPr>
              <w:jc w:val="center"/>
              <w:spacing w:before="0" w:after="40"/>
            </w:pPr>
            <w:r>
              <w:rPr>
                <w:rFonts w:ascii="Calibri" w:hAnsi="Calibri"/>
                <w:color w:val="1F2328"/>
                <w:sz w:val="20"/>
              </w:rPr>
              <w:t>Is the data trustworthy?</w:t>
            </w:r>
          </w:p>
        </w:tc>
        <w:tc>
          <w:tcPr>
            <w:tcW w:type="dxa" w:w="3685"/>
            <w:shd w:val="clear" w:color="auto" w:fill="FFFFFF"/>
            <w:vAlign w:val="center"/>
          </w:tcPr>
          <w:p>
            <w:pPr>
              <w:jc w:val="center"/>
              <w:spacing w:before="0" w:after="40"/>
            </w:pPr>
            <w:r>
              <w:rPr>
                <w:rFonts w:ascii="Calibri" w:hAnsi="Calibri"/>
                <w:color w:val="1F2328"/>
                <w:sz w:val="20"/>
              </w:rPr>
              <w:t>Clean dataset, quality audit, leakage protocol</w:t>
            </w:r>
          </w:p>
        </w:tc>
      </w:tr>
      <w:tr>
        <w:tc>
          <w:tcPr>
            <w:tcW w:type="dxa" w:w="1020"/>
            <w:shd w:val="clear" w:color="auto" w:fill="F7F8FA"/>
            <w:vAlign w:val="center"/>
          </w:tcPr>
          <w:p>
            <w:pPr>
              <w:jc w:val="center"/>
              <w:spacing w:before="0" w:after="40"/>
            </w:pPr>
            <w:r>
              <w:rPr>
                <w:rFonts w:ascii="Calibri" w:hAnsi="Calibri"/>
                <w:color w:val="1F2328"/>
                <w:sz w:val="20"/>
              </w:rPr>
              <w:t>Tier 1</w:t>
            </w:r>
          </w:p>
        </w:tc>
        <w:tc>
          <w:tcPr>
            <w:tcW w:type="dxa" w:w="1701"/>
            <w:shd w:val="clear" w:color="auto" w:fill="F7F8FA"/>
            <w:vAlign w:val="center"/>
          </w:tcPr>
          <w:p>
            <w:pPr>
              <w:jc w:val="center"/>
              <w:spacing w:before="0" w:after="40"/>
            </w:pPr>
            <w:r>
              <w:rPr>
                <w:rFonts w:ascii="Calibri" w:hAnsi="Calibri"/>
                <w:color w:val="1F2328"/>
                <w:sz w:val="20"/>
              </w:rPr>
              <w:t>Descriptive</w:t>
            </w:r>
          </w:p>
        </w:tc>
        <w:tc>
          <w:tcPr>
            <w:tcW w:type="dxa" w:w="3118"/>
            <w:shd w:val="clear" w:color="auto" w:fill="F7F8FA"/>
            <w:vAlign w:val="center"/>
          </w:tcPr>
          <w:p>
            <w:pPr>
              <w:jc w:val="center"/>
              <w:spacing w:before="0" w:after="40"/>
            </w:pPr>
            <w:r>
              <w:rPr>
                <w:rFonts w:ascii="Calibri" w:hAnsi="Calibri"/>
                <w:color w:val="1F2328"/>
                <w:sz w:val="20"/>
              </w:rPr>
              <w:t>What happened?</w:t>
            </w:r>
          </w:p>
        </w:tc>
        <w:tc>
          <w:tcPr>
            <w:tcW w:type="dxa" w:w="3685"/>
            <w:shd w:val="clear" w:color="auto" w:fill="F7F8FA"/>
            <w:vAlign w:val="center"/>
          </w:tcPr>
          <w:p>
            <w:pPr>
              <w:jc w:val="center"/>
              <w:spacing w:before="0" w:after="40"/>
            </w:pPr>
            <w:r>
              <w:rPr>
                <w:rFonts w:ascii="Calibri" w:hAnsi="Calibri"/>
                <w:color w:val="1F2328"/>
                <w:sz w:val="20"/>
              </w:rPr>
              <w:t>5 EDA charts, KPIs, distribution analysis</w:t>
            </w:r>
          </w:p>
        </w:tc>
      </w:tr>
      <w:tr>
        <w:tc>
          <w:tcPr>
            <w:tcW w:type="dxa" w:w="1020"/>
            <w:shd w:val="clear" w:color="auto" w:fill="FFFFFF"/>
            <w:vAlign w:val="center"/>
          </w:tcPr>
          <w:p>
            <w:pPr>
              <w:jc w:val="center"/>
              <w:spacing w:before="0" w:after="40"/>
            </w:pPr>
            <w:r>
              <w:rPr>
                <w:rFonts w:ascii="Calibri" w:hAnsi="Calibri"/>
                <w:color w:val="1F2328"/>
                <w:sz w:val="20"/>
              </w:rPr>
              <w:t>Tier 2</w:t>
            </w:r>
          </w:p>
        </w:tc>
        <w:tc>
          <w:tcPr>
            <w:tcW w:type="dxa" w:w="1701"/>
            <w:shd w:val="clear" w:color="auto" w:fill="FFFFFF"/>
            <w:vAlign w:val="center"/>
          </w:tcPr>
          <w:p>
            <w:pPr>
              <w:jc w:val="center"/>
              <w:spacing w:before="0" w:after="40"/>
            </w:pPr>
            <w:r>
              <w:rPr>
                <w:rFonts w:ascii="Calibri" w:hAnsi="Calibri"/>
                <w:color w:val="1F2328"/>
                <w:sz w:val="20"/>
              </w:rPr>
              <w:t>Diagnostic</w:t>
            </w:r>
          </w:p>
        </w:tc>
        <w:tc>
          <w:tcPr>
            <w:tcW w:type="dxa" w:w="3118"/>
            <w:shd w:val="clear" w:color="auto" w:fill="FFFFFF"/>
            <w:vAlign w:val="center"/>
          </w:tcPr>
          <w:p>
            <w:pPr>
              <w:jc w:val="center"/>
              <w:spacing w:before="0" w:after="40"/>
            </w:pPr>
            <w:r>
              <w:rPr>
                <w:rFonts w:ascii="Calibri" w:hAnsi="Calibri"/>
                <w:color w:val="1F2328"/>
                <w:sz w:val="20"/>
              </w:rPr>
              <w:t>Why did it happen?</w:t>
            </w:r>
          </w:p>
        </w:tc>
        <w:tc>
          <w:tcPr>
            <w:tcW w:type="dxa" w:w="3685"/>
            <w:shd w:val="clear" w:color="auto" w:fill="FFFFFF"/>
            <w:vAlign w:val="center"/>
          </w:tcPr>
          <w:p>
            <w:pPr>
              <w:jc w:val="center"/>
              <w:spacing w:before="0" w:after="40"/>
            </w:pPr>
            <w:r>
              <w:rPr>
                <w:rFonts w:ascii="Calibri" w:hAnsi="Calibri"/>
                <w:color w:val="1F2328"/>
                <w:sz w:val="20"/>
              </w:rPr>
              <w:t>Cohort comparisons, correlation analysis</w:t>
            </w:r>
          </w:p>
        </w:tc>
      </w:tr>
      <w:tr>
        <w:tc>
          <w:tcPr>
            <w:tcW w:type="dxa" w:w="1020"/>
            <w:shd w:val="clear" w:color="auto" w:fill="F7F8FA"/>
            <w:vAlign w:val="center"/>
          </w:tcPr>
          <w:p>
            <w:pPr>
              <w:jc w:val="center"/>
              <w:spacing w:before="0" w:after="40"/>
            </w:pPr>
            <w:r>
              <w:rPr>
                <w:rFonts w:ascii="Calibri" w:hAnsi="Calibri"/>
                <w:color w:val="1F2328"/>
                <w:sz w:val="20"/>
              </w:rPr>
              <w:t>Tier 3</w:t>
            </w:r>
          </w:p>
        </w:tc>
        <w:tc>
          <w:tcPr>
            <w:tcW w:type="dxa" w:w="1701"/>
            <w:shd w:val="clear" w:color="auto" w:fill="F7F8FA"/>
            <w:vAlign w:val="center"/>
          </w:tcPr>
          <w:p>
            <w:pPr>
              <w:jc w:val="center"/>
              <w:spacing w:before="0" w:after="40"/>
            </w:pPr>
            <w:r>
              <w:rPr>
                <w:rFonts w:ascii="Calibri" w:hAnsi="Calibri"/>
                <w:color w:val="1F2328"/>
                <w:sz w:val="20"/>
              </w:rPr>
              <w:t>Predictive</w:t>
            </w:r>
          </w:p>
        </w:tc>
        <w:tc>
          <w:tcPr>
            <w:tcW w:type="dxa" w:w="3118"/>
            <w:shd w:val="clear" w:color="auto" w:fill="F7F8FA"/>
            <w:vAlign w:val="center"/>
          </w:tcPr>
          <w:p>
            <w:pPr>
              <w:jc w:val="center"/>
              <w:spacing w:before="0" w:after="40"/>
            </w:pPr>
            <w:r>
              <w:rPr>
                <w:rFonts w:ascii="Calibri" w:hAnsi="Calibri"/>
                <w:color w:val="1F2328"/>
                <w:sz w:val="20"/>
              </w:rPr>
              <w:t>What will happen?</w:t>
            </w:r>
          </w:p>
        </w:tc>
        <w:tc>
          <w:tcPr>
            <w:tcW w:type="dxa" w:w="3685"/>
            <w:shd w:val="clear" w:color="auto" w:fill="F7F8FA"/>
            <w:vAlign w:val="center"/>
          </w:tcPr>
          <w:p>
            <w:pPr>
              <w:jc w:val="center"/>
              <w:spacing w:before="0" w:after="40"/>
            </w:pPr>
            <w:r>
              <w:rPr>
                <w:rFonts w:ascii="Calibri" w:hAnsi="Calibri"/>
                <w:color w:val="1F2328"/>
                <w:sz w:val="20"/>
              </w:rPr>
              <w:t>LR &amp; RF pipelines, metrics, confusion matrices, ROC curves</w:t>
            </w:r>
          </w:p>
        </w:tc>
      </w:tr>
      <w:tr>
        <w:tc>
          <w:tcPr>
            <w:tcW w:type="dxa" w:w="1020"/>
            <w:shd w:val="clear" w:color="auto" w:fill="FFFFFF"/>
            <w:vAlign w:val="center"/>
          </w:tcPr>
          <w:p>
            <w:pPr>
              <w:jc w:val="center"/>
              <w:spacing w:before="0" w:after="40"/>
            </w:pPr>
            <w:r>
              <w:rPr>
                <w:rFonts w:ascii="Calibri" w:hAnsi="Calibri"/>
                <w:color w:val="1F2328"/>
                <w:sz w:val="20"/>
              </w:rPr>
              <w:t>Tier 4</w:t>
            </w:r>
          </w:p>
        </w:tc>
        <w:tc>
          <w:tcPr>
            <w:tcW w:type="dxa" w:w="1701"/>
            <w:shd w:val="clear" w:color="auto" w:fill="FFFFFF"/>
            <w:vAlign w:val="center"/>
          </w:tcPr>
          <w:p>
            <w:pPr>
              <w:jc w:val="center"/>
              <w:spacing w:before="0" w:after="40"/>
            </w:pPr>
            <w:r>
              <w:rPr>
                <w:rFonts w:ascii="Calibri" w:hAnsi="Calibri"/>
                <w:color w:val="1F2328"/>
                <w:sz w:val="20"/>
              </w:rPr>
              <w:t>Prescriptive</w:t>
            </w:r>
          </w:p>
        </w:tc>
        <w:tc>
          <w:tcPr>
            <w:tcW w:type="dxa" w:w="3118"/>
            <w:shd w:val="clear" w:color="auto" w:fill="FFFFFF"/>
            <w:vAlign w:val="center"/>
          </w:tcPr>
          <w:p>
            <w:pPr>
              <w:jc w:val="center"/>
              <w:spacing w:before="0" w:after="40"/>
            </w:pPr>
            <w:r>
              <w:rPr>
                <w:rFonts w:ascii="Calibri" w:hAnsi="Calibri"/>
                <w:color w:val="1F2328"/>
                <w:sz w:val="20"/>
              </w:rPr>
              <w:t>What should we do about it?</w:t>
            </w:r>
          </w:p>
        </w:tc>
        <w:tc>
          <w:tcPr>
            <w:tcW w:type="dxa" w:w="3685"/>
            <w:shd w:val="clear" w:color="auto" w:fill="FFFFFF"/>
            <w:vAlign w:val="center"/>
          </w:tcPr>
          <w:p>
            <w:pPr>
              <w:jc w:val="center"/>
              <w:spacing w:before="0" w:after="40"/>
            </w:pPr>
            <w:r>
              <w:rPr>
                <w:rFonts w:ascii="Calibri" w:hAnsi="Calibri"/>
                <w:color w:val="1F2328"/>
                <w:sz w:val="20"/>
              </w:rPr>
              <w:t>OOF risk tiers, targeting rule, 5 suggested strategies</w:t>
            </w:r>
          </w:p>
        </w:tc>
      </w:tr>
    </w:tbl>
    <w:p/>
    <w:p>
      <w:pPr>
        <w:spacing w:before="120" w:after="120"/>
        <w:pBdr>
          <w:bottom w:val="single" w:sz="6" w:space="1" w:color="1F2328"/>
        </w:pBdr>
      </w:pPr>
      <w:r>
        <w:rPr>
          <w:rFonts w:ascii="Calibri" w:hAnsi="Calibri"/>
          <w:b/>
          <w:color w:val="1F2328"/>
          <w:sz w:val="32"/>
        </w:rPr>
        <w:t>7.1  Technical Stack</w:t>
      </w:r>
    </w:p>
    <w:tbl>
      <w:tblPr>
        <w:tblW w:type="auto" w:w="0"/>
        <w:jc w:val="left"/>
        <w:tblLook w:firstColumn="1" w:firstRow="1" w:lastColumn="0" w:lastRow="0" w:noHBand="0" w:noVBand="1" w:val="04A0"/>
      </w:tblPr>
      <w:tblGrid>
        <w:gridCol w:w="3120"/>
        <w:gridCol w:w="3120"/>
        <w:gridCol w:w="3120"/>
      </w:tblGrid>
      <w:tr>
        <w:tc>
          <w:tcPr>
            <w:tcW w:type="dxa" w:w="2268"/>
            <w:shd w:val="clear" w:color="auto" w:fill="1F2328"/>
            <w:vAlign w:val="center"/>
          </w:tcPr>
          <w:p>
            <w:pPr>
              <w:jc w:val="center"/>
              <w:spacing w:before="0" w:after="40"/>
            </w:pPr>
            <w:r>
              <w:rPr>
                <w:rFonts w:ascii="Calibri" w:hAnsi="Calibri"/>
                <w:b/>
                <w:color w:val="FFFFFF"/>
                <w:sz w:val="20"/>
              </w:rPr>
              <w:t>Library</w:t>
            </w:r>
          </w:p>
        </w:tc>
        <w:tc>
          <w:tcPr>
            <w:tcW w:type="dxa" w:w="1701"/>
            <w:shd w:val="clear" w:color="auto" w:fill="1F2328"/>
            <w:vAlign w:val="center"/>
          </w:tcPr>
          <w:p>
            <w:pPr>
              <w:jc w:val="center"/>
              <w:spacing w:before="0" w:after="40"/>
            </w:pPr>
            <w:r>
              <w:rPr>
                <w:rFonts w:ascii="Calibri" w:hAnsi="Calibri"/>
                <w:b/>
                <w:color w:val="FFFFFF"/>
                <w:sz w:val="20"/>
              </w:rPr>
              <w:t>Version</w:t>
            </w:r>
          </w:p>
        </w:tc>
        <w:tc>
          <w:tcPr>
            <w:tcW w:type="dxa" w:w="5669"/>
            <w:shd w:val="clear" w:color="auto" w:fill="1F2328"/>
            <w:vAlign w:val="center"/>
          </w:tcPr>
          <w:p>
            <w:pPr>
              <w:jc w:val="center"/>
              <w:spacing w:before="0" w:after="40"/>
            </w:pPr>
            <w:r>
              <w:rPr>
                <w:rFonts w:ascii="Calibri" w:hAnsi="Calibri"/>
                <w:b/>
                <w:color w:val="FFFFFF"/>
                <w:sz w:val="20"/>
              </w:rPr>
              <w:t>Purpose</w:t>
            </w:r>
          </w:p>
        </w:tc>
      </w:tr>
      <w:tr>
        <w:tc>
          <w:tcPr>
            <w:tcW w:type="dxa" w:w="2268"/>
            <w:shd w:val="clear" w:color="auto" w:fill="FFFFFF"/>
            <w:vAlign w:val="center"/>
          </w:tcPr>
          <w:p>
            <w:pPr>
              <w:jc w:val="center"/>
              <w:spacing w:before="0" w:after="40"/>
            </w:pPr>
            <w:r>
              <w:rPr>
                <w:rFonts w:ascii="Calibri" w:hAnsi="Calibri"/>
                <w:color w:val="1F2328"/>
                <w:sz w:val="20"/>
              </w:rPr>
              <w:t>pandas</w:t>
            </w:r>
          </w:p>
        </w:tc>
        <w:tc>
          <w:tcPr>
            <w:tcW w:type="dxa" w:w="1701"/>
            <w:shd w:val="clear" w:color="auto" w:fill="FFFFFF"/>
            <w:vAlign w:val="center"/>
          </w:tcPr>
          <w:p>
            <w:pPr>
              <w:jc w:val="center"/>
              <w:spacing w:before="0" w:after="40"/>
            </w:pPr>
            <w:r>
              <w:rPr>
                <w:rFonts w:ascii="Calibri" w:hAnsi="Calibri"/>
                <w:color w:val="1F2328"/>
                <w:sz w:val="20"/>
              </w:rPr>
              <w:t>&gt;= 1.5</w:t>
            </w:r>
          </w:p>
        </w:tc>
        <w:tc>
          <w:tcPr>
            <w:tcW w:type="dxa" w:w="5669"/>
            <w:shd w:val="clear" w:color="auto" w:fill="FFFFFF"/>
            <w:vAlign w:val="center"/>
          </w:tcPr>
          <w:p>
            <w:pPr>
              <w:jc w:val="center"/>
              <w:spacing w:before="0" w:after="40"/>
            </w:pPr>
            <w:r>
              <w:rPr>
                <w:rFonts w:ascii="Calibri" w:hAnsi="Calibri"/>
                <w:color w:val="1F2328"/>
                <w:sz w:val="20"/>
              </w:rPr>
              <w:t>Data loading, cleaning, feature engineering</w:t>
            </w:r>
          </w:p>
        </w:tc>
      </w:tr>
      <w:tr>
        <w:tc>
          <w:tcPr>
            <w:tcW w:type="dxa" w:w="2268"/>
            <w:shd w:val="clear" w:color="auto" w:fill="F7F8FA"/>
            <w:vAlign w:val="center"/>
          </w:tcPr>
          <w:p>
            <w:pPr>
              <w:jc w:val="center"/>
              <w:spacing w:before="0" w:after="40"/>
            </w:pPr>
            <w:r>
              <w:rPr>
                <w:rFonts w:ascii="Calibri" w:hAnsi="Calibri"/>
                <w:color w:val="1F2328"/>
                <w:sz w:val="20"/>
              </w:rPr>
              <w:t>numpy</w:t>
            </w:r>
          </w:p>
        </w:tc>
        <w:tc>
          <w:tcPr>
            <w:tcW w:type="dxa" w:w="1701"/>
            <w:shd w:val="clear" w:color="auto" w:fill="F7F8FA"/>
            <w:vAlign w:val="center"/>
          </w:tcPr>
          <w:p>
            <w:pPr>
              <w:jc w:val="center"/>
              <w:spacing w:before="0" w:after="40"/>
            </w:pPr>
            <w:r>
              <w:rPr>
                <w:rFonts w:ascii="Calibri" w:hAnsi="Calibri"/>
                <w:color w:val="1F2328"/>
                <w:sz w:val="20"/>
              </w:rPr>
              <w:t>&gt;= 1.23</w:t>
            </w:r>
          </w:p>
        </w:tc>
        <w:tc>
          <w:tcPr>
            <w:tcW w:type="dxa" w:w="5669"/>
            <w:shd w:val="clear" w:color="auto" w:fill="F7F8FA"/>
            <w:vAlign w:val="center"/>
          </w:tcPr>
          <w:p>
            <w:pPr>
              <w:jc w:val="center"/>
              <w:spacing w:before="0" w:after="40"/>
            </w:pPr>
            <w:r>
              <w:rPr>
                <w:rFonts w:ascii="Calibri" w:hAnsi="Calibri"/>
                <w:color w:val="1F2328"/>
                <w:sz w:val="20"/>
              </w:rPr>
              <w:t>Numerical computation</w:t>
            </w:r>
          </w:p>
        </w:tc>
      </w:tr>
      <w:tr>
        <w:tc>
          <w:tcPr>
            <w:tcW w:type="dxa" w:w="2268"/>
            <w:shd w:val="clear" w:color="auto" w:fill="FFFFFF"/>
            <w:vAlign w:val="center"/>
          </w:tcPr>
          <w:p>
            <w:pPr>
              <w:jc w:val="center"/>
              <w:spacing w:before="0" w:after="40"/>
            </w:pPr>
            <w:r>
              <w:rPr>
                <w:rFonts w:ascii="Calibri" w:hAnsi="Calibri"/>
                <w:color w:val="1F2328"/>
                <w:sz w:val="20"/>
              </w:rPr>
              <w:t>scikit-learn</w:t>
            </w:r>
          </w:p>
        </w:tc>
        <w:tc>
          <w:tcPr>
            <w:tcW w:type="dxa" w:w="1701"/>
            <w:shd w:val="clear" w:color="auto" w:fill="FFFFFF"/>
            <w:vAlign w:val="center"/>
          </w:tcPr>
          <w:p>
            <w:pPr>
              <w:jc w:val="center"/>
              <w:spacing w:before="0" w:after="40"/>
            </w:pPr>
            <w:r>
              <w:rPr>
                <w:rFonts w:ascii="Calibri" w:hAnsi="Calibri"/>
                <w:color w:val="1F2328"/>
                <w:sz w:val="20"/>
              </w:rPr>
              <w:t>&gt;= 1.2</w:t>
            </w:r>
          </w:p>
        </w:tc>
        <w:tc>
          <w:tcPr>
            <w:tcW w:type="dxa" w:w="5669"/>
            <w:shd w:val="clear" w:color="auto" w:fill="FFFFFF"/>
            <w:vAlign w:val="center"/>
          </w:tcPr>
          <w:p>
            <w:pPr>
              <w:jc w:val="center"/>
              <w:spacing w:before="0" w:after="40"/>
            </w:pPr>
            <w:r>
              <w:rPr>
                <w:rFonts w:ascii="Calibri" w:hAnsi="Calibri"/>
                <w:color w:val="1F2328"/>
                <w:sz w:val="20"/>
              </w:rPr>
              <w:t>ML pipeline: OneHotEncoder, StandardScaler, ColumnTransformer, LR, RF, metrics</w:t>
            </w:r>
          </w:p>
        </w:tc>
      </w:tr>
      <w:tr>
        <w:tc>
          <w:tcPr>
            <w:tcW w:type="dxa" w:w="2268"/>
            <w:shd w:val="clear" w:color="auto" w:fill="F7F8FA"/>
            <w:vAlign w:val="center"/>
          </w:tcPr>
          <w:p>
            <w:pPr>
              <w:jc w:val="center"/>
              <w:spacing w:before="0" w:after="40"/>
            </w:pPr>
            <w:r>
              <w:rPr>
                <w:rFonts w:ascii="Calibri" w:hAnsi="Calibri"/>
                <w:color w:val="1F2328"/>
                <w:sz w:val="20"/>
              </w:rPr>
              <w:t>streamlit</w:t>
            </w:r>
          </w:p>
        </w:tc>
        <w:tc>
          <w:tcPr>
            <w:tcW w:type="dxa" w:w="1701"/>
            <w:shd w:val="clear" w:color="auto" w:fill="F7F8FA"/>
            <w:vAlign w:val="center"/>
          </w:tcPr>
          <w:p>
            <w:pPr>
              <w:jc w:val="center"/>
              <w:spacing w:before="0" w:after="40"/>
            </w:pPr>
            <w:r>
              <w:rPr>
                <w:rFonts w:ascii="Calibri" w:hAnsi="Calibri"/>
                <w:color w:val="1F2328"/>
                <w:sz w:val="20"/>
              </w:rPr>
              <w:t>&gt;= 1.28</w:t>
            </w:r>
          </w:p>
        </w:tc>
        <w:tc>
          <w:tcPr>
            <w:tcW w:type="dxa" w:w="5669"/>
            <w:shd w:val="clear" w:color="auto" w:fill="F7F8FA"/>
            <w:vAlign w:val="center"/>
          </w:tcPr>
          <w:p>
            <w:pPr>
              <w:jc w:val="center"/>
              <w:spacing w:before="0" w:after="40"/>
            </w:pPr>
            <w:r>
              <w:rPr>
                <w:rFonts w:ascii="Calibri" w:hAnsi="Calibri"/>
                <w:color w:val="1F2328"/>
                <w:sz w:val="20"/>
              </w:rPr>
              <w:t>Interactive dashboard</w:t>
            </w:r>
          </w:p>
        </w:tc>
      </w:tr>
      <w:tr>
        <w:tc>
          <w:tcPr>
            <w:tcW w:type="dxa" w:w="2268"/>
            <w:shd w:val="clear" w:color="auto" w:fill="FFFFFF"/>
            <w:vAlign w:val="center"/>
          </w:tcPr>
          <w:p>
            <w:pPr>
              <w:jc w:val="center"/>
              <w:spacing w:before="0" w:after="40"/>
            </w:pPr>
            <w:r>
              <w:rPr>
                <w:rFonts w:ascii="Calibri" w:hAnsi="Calibri"/>
                <w:color w:val="1F2328"/>
                <w:sz w:val="20"/>
              </w:rPr>
              <w:t>matplotlib</w:t>
            </w:r>
          </w:p>
        </w:tc>
        <w:tc>
          <w:tcPr>
            <w:tcW w:type="dxa" w:w="1701"/>
            <w:shd w:val="clear" w:color="auto" w:fill="FFFFFF"/>
            <w:vAlign w:val="center"/>
          </w:tcPr>
          <w:p>
            <w:pPr>
              <w:jc w:val="center"/>
              <w:spacing w:before="0" w:after="40"/>
            </w:pPr>
            <w:r>
              <w:rPr>
                <w:rFonts w:ascii="Calibri" w:hAnsi="Calibri"/>
                <w:color w:val="1F2328"/>
                <w:sz w:val="20"/>
              </w:rPr>
              <w:t>&gt;= 3.6</w:t>
            </w:r>
          </w:p>
        </w:tc>
        <w:tc>
          <w:tcPr>
            <w:tcW w:type="dxa" w:w="5669"/>
            <w:shd w:val="clear" w:color="auto" w:fill="FFFFFF"/>
            <w:vAlign w:val="center"/>
          </w:tcPr>
          <w:p>
            <w:pPr>
              <w:jc w:val="center"/>
              <w:spacing w:before="0" w:after="40"/>
            </w:pPr>
            <w:r>
              <w:rPr>
                <w:rFonts w:ascii="Calibri" w:hAnsi="Calibri"/>
                <w:color w:val="1F2328"/>
                <w:sz w:val="20"/>
              </w:rPr>
              <w:t>Static charts</w:t>
            </w:r>
          </w:p>
        </w:tc>
      </w:tr>
      <w:tr>
        <w:tc>
          <w:tcPr>
            <w:tcW w:type="dxa" w:w="2268"/>
            <w:shd w:val="clear" w:color="auto" w:fill="F7F8FA"/>
            <w:vAlign w:val="center"/>
          </w:tcPr>
          <w:p>
            <w:pPr>
              <w:jc w:val="center"/>
              <w:spacing w:before="0" w:after="40"/>
            </w:pPr>
            <w:r>
              <w:rPr>
                <w:rFonts w:ascii="Calibri" w:hAnsi="Calibri"/>
                <w:color w:val="1F2328"/>
                <w:sz w:val="20"/>
              </w:rPr>
              <w:t>seaborn</w:t>
            </w:r>
          </w:p>
        </w:tc>
        <w:tc>
          <w:tcPr>
            <w:tcW w:type="dxa" w:w="1701"/>
            <w:shd w:val="clear" w:color="auto" w:fill="F7F8FA"/>
            <w:vAlign w:val="center"/>
          </w:tcPr>
          <w:p>
            <w:pPr>
              <w:jc w:val="center"/>
              <w:spacing w:before="0" w:after="40"/>
            </w:pPr>
            <w:r>
              <w:rPr>
                <w:rFonts w:ascii="Calibri" w:hAnsi="Calibri"/>
                <w:color w:val="1F2328"/>
                <w:sz w:val="20"/>
              </w:rPr>
              <w:t>&gt;= 0.12</w:t>
            </w:r>
          </w:p>
        </w:tc>
        <w:tc>
          <w:tcPr>
            <w:tcW w:type="dxa" w:w="5669"/>
            <w:shd w:val="clear" w:color="auto" w:fill="F7F8FA"/>
            <w:vAlign w:val="center"/>
          </w:tcPr>
          <w:p>
            <w:pPr>
              <w:jc w:val="center"/>
              <w:spacing w:before="0" w:after="40"/>
            </w:pPr>
            <w:r>
              <w:rPr>
                <w:rFonts w:ascii="Calibri" w:hAnsi="Calibri"/>
                <w:color w:val="1F2328"/>
                <w:sz w:val="20"/>
              </w:rPr>
              <w:t>Confusion matrix heatmaps</w:t>
            </w:r>
          </w:p>
        </w:tc>
      </w:tr>
    </w:tbl>
    <w:p/>
    <w:p>
      <w:r>
        <w:br w:type="page"/>
      </w:r>
    </w:p>
    <w:p>
      <w:pPr>
        <w:spacing w:before="120" w:after="120"/>
        <w:pBdr>
          <w:bottom w:val="single" w:sz="6" w:space="1" w:color="3B82D4"/>
        </w:pBdr>
      </w:pPr>
      <w:r>
        <w:rPr>
          <w:rFonts w:ascii="Calibri" w:hAnsi="Calibri"/>
          <w:b/>
          <w:color w:val="3B82D4"/>
          <w:sz w:val="44"/>
        </w:rPr>
        <w:t>8.  Caveats &amp; Limitations</w:t>
      </w:r>
    </w:p>
    <w:p>
      <w:pPr>
        <w:pStyle w:val="ListBullet"/>
        <w:spacing w:before="0" w:after="60"/>
      </w:pPr>
      <w:r>
        <w:rPr>
          <w:rFonts w:ascii="Calibri" w:hAnsi="Calibri"/>
          <w:b/>
          <w:color w:val="1F2328"/>
          <w:sz w:val="21"/>
        </w:rPr>
        <w:t xml:space="preserve">Observational data only:  </w:t>
      </w:r>
      <w:r>
        <w:rPr>
          <w:rFonts w:ascii="Calibri" w:hAnsi="Calibri"/>
          <w:color w:val="1F2328"/>
          <w:sz w:val="21"/>
        </w:rPr>
        <w:t>All findings describe associations in the dataset. Randomised controlled experiments (A/B tests) are required to establish causal relationships between any feature and churn.</w:t>
      </w:r>
    </w:p>
    <w:p>
      <w:pPr>
        <w:pStyle w:val="ListBullet"/>
        <w:spacing w:before="0" w:after="60"/>
      </w:pPr>
      <w:r>
        <w:rPr>
          <w:rFonts w:ascii="Calibri" w:hAnsi="Calibri"/>
          <w:b/>
          <w:color w:val="1F2328"/>
          <w:sz w:val="21"/>
        </w:rPr>
        <w:t xml:space="preserve">Probability calibration:  </w:t>
      </w:r>
      <w:r>
        <w:rPr>
          <w:rFonts w:ascii="Calibri" w:hAnsi="Calibri"/>
          <w:color w:val="1F2328"/>
          <w:sz w:val="21"/>
        </w:rPr>
        <w:t>Model scores are calibrated for relative triage ranking. For absolute probability use, apply Platt scaling or isotonic regression.</w:t>
      </w:r>
    </w:p>
    <w:p>
      <w:pPr>
        <w:pStyle w:val="ListBullet"/>
        <w:spacing w:before="0" w:after="60"/>
      </w:pPr>
      <w:r>
        <w:rPr>
          <w:rFonts w:ascii="Calibri" w:hAnsi="Calibri"/>
          <w:b/>
          <w:color w:val="1F2328"/>
          <w:sz w:val="21"/>
        </w:rPr>
        <w:t xml:space="preserve">Temporal validity:  </w:t>
      </w:r>
      <w:r>
        <w:rPr>
          <w:rFonts w:ascii="Calibri" w:hAnsi="Calibri"/>
          <w:color w:val="1F2328"/>
          <w:sz w:val="21"/>
        </w:rPr>
        <w:t>Dataset is a single point-in-time snapshot. Models should be monitored and retrained as customer behaviour evolves.</w:t>
      </w:r>
    </w:p>
    <w:p>
      <w:pPr>
        <w:pStyle w:val="ListBullet"/>
        <w:spacing w:before="0" w:after="60"/>
      </w:pPr>
      <w:r>
        <w:rPr>
          <w:rFonts w:ascii="Calibri" w:hAnsi="Calibri"/>
          <w:b/>
          <w:color w:val="1F2328"/>
          <w:sz w:val="21"/>
        </w:rPr>
        <w:t xml:space="preserve">Feature importance:  </w:t>
      </w:r>
      <w:r>
        <w:rPr>
          <w:rFonts w:ascii="Calibri" w:hAnsi="Calibri"/>
          <w:color w:val="1F2328"/>
          <w:sz w:val="21"/>
        </w:rPr>
        <w:t>After OneHot encoding, correlated features (tenure, TotalCharges) may inflate combined feature importance. Importances reflect predictive association, not causal relevance.</w:t>
      </w:r>
    </w:p>
    <w:p>
      <w:pPr>
        <w:pStyle w:val="ListBullet"/>
        <w:spacing w:before="0" w:after="60"/>
      </w:pPr>
      <w:r>
        <w:rPr>
          <w:rFonts w:ascii="Calibri" w:hAnsi="Calibri"/>
          <w:b/>
          <w:color w:val="1F2328"/>
          <w:sz w:val="21"/>
        </w:rPr>
        <w:t xml:space="preserve">Financial projections:  </w:t>
      </w:r>
      <w:r>
        <w:rPr>
          <w:rFonts w:ascii="Calibri" w:hAnsi="Calibri"/>
          <w:color w:val="1F2328"/>
          <w:sz w:val="21"/>
        </w:rPr>
        <w:t>All financial projections use assumed unit economics ($30 outreach cost, 30% acceptance, $1,800 LTV). The dataset contains no actual retention cost, LTV, or acceptance rate data. These are illustrative scenario assumptions only.</w:t>
      </w:r>
    </w:p>
    <w:p/>
    <w:p>
      <w:pPr>
        <w:spacing w:before="120" w:after="120"/>
        <w:pBdr>
          <w:bottom w:val="single" w:sz="6" w:space="1" w:color="3B82D4"/>
        </w:pBdr>
      </w:pPr>
      <w:r>
        <w:rPr>
          <w:rFonts w:ascii="Calibri" w:hAnsi="Calibri"/>
          <w:b/>
          <w:color w:val="3B82D4"/>
          <w:sz w:val="44"/>
        </w:rPr>
        <w:t>9.  Recommendations Summary</w:t>
      </w:r>
    </w:p>
    <w:tbl>
      <w:tblPr>
        <w:tblW w:type="auto" w:w="0"/>
        <w:jc w:val="left"/>
        <w:tblLook w:firstColumn="1" w:firstRow="1" w:lastColumn="0" w:lastRow="0" w:noHBand="0" w:noVBand="1" w:val="04A0"/>
      </w:tblPr>
      <w:tblGrid>
        <w:gridCol w:w="2340"/>
        <w:gridCol w:w="2340"/>
        <w:gridCol w:w="2340"/>
        <w:gridCol w:w="2340"/>
      </w:tblGrid>
      <w:tr>
        <w:tc>
          <w:tcPr>
            <w:tcW w:type="dxa" w:w="1417"/>
            <w:shd w:val="clear" w:color="auto" w:fill="1F2328"/>
            <w:vAlign w:val="center"/>
          </w:tcPr>
          <w:p>
            <w:pPr>
              <w:jc w:val="center"/>
              <w:spacing w:before="0" w:after="40"/>
            </w:pPr>
            <w:r>
              <w:rPr>
                <w:rFonts w:ascii="Calibri" w:hAnsi="Calibri"/>
                <w:b/>
                <w:color w:val="FFFFFF"/>
                <w:sz w:val="20"/>
              </w:rPr>
              <w:t>Priority</w:t>
            </w:r>
          </w:p>
        </w:tc>
        <w:tc>
          <w:tcPr>
            <w:tcW w:type="dxa" w:w="2835"/>
            <w:shd w:val="clear" w:color="auto" w:fill="1F2328"/>
            <w:vAlign w:val="center"/>
          </w:tcPr>
          <w:p>
            <w:pPr>
              <w:jc w:val="center"/>
              <w:spacing w:before="0" w:after="40"/>
            </w:pPr>
            <w:r>
              <w:rPr>
                <w:rFonts w:ascii="Calibri" w:hAnsi="Calibri"/>
                <w:b/>
                <w:color w:val="FFFFFF"/>
                <w:sz w:val="20"/>
              </w:rPr>
              <w:t>Suggested Action</w:t>
            </w:r>
          </w:p>
        </w:tc>
        <w:tc>
          <w:tcPr>
            <w:tcW w:type="dxa" w:w="2835"/>
            <w:shd w:val="clear" w:color="auto" w:fill="1F2328"/>
            <w:vAlign w:val="center"/>
          </w:tcPr>
          <w:p>
            <w:pPr>
              <w:jc w:val="center"/>
              <w:spacing w:before="0" w:after="40"/>
            </w:pPr>
            <w:r>
              <w:rPr>
                <w:rFonts w:ascii="Calibri" w:hAnsi="Calibri"/>
                <w:b/>
                <w:color w:val="FFFFFF"/>
                <w:sz w:val="20"/>
              </w:rPr>
              <w:t>Target Segment</w:t>
            </w:r>
          </w:p>
        </w:tc>
        <w:tc>
          <w:tcPr>
            <w:tcW w:type="dxa" w:w="2835"/>
            <w:shd w:val="clear" w:color="auto" w:fill="1F2328"/>
            <w:vAlign w:val="center"/>
          </w:tcPr>
          <w:p>
            <w:pPr>
              <w:jc w:val="center"/>
              <w:spacing w:before="0" w:after="40"/>
            </w:pPr>
            <w:r>
              <w:rPr>
                <w:rFonts w:ascii="Calibri" w:hAnsi="Calibri"/>
                <w:b/>
                <w:color w:val="FFFFFF"/>
                <w:sz w:val="20"/>
              </w:rPr>
              <w:t>Dataset Evidence</w:t>
            </w:r>
          </w:p>
        </w:tc>
      </w:tr>
      <w:tr>
        <w:tc>
          <w:tcPr>
            <w:tcW w:type="dxa" w:w="1417"/>
            <w:shd w:val="clear" w:color="auto" w:fill="FFFFFF"/>
            <w:vAlign w:val="center"/>
          </w:tcPr>
          <w:p>
            <w:pPr>
              <w:jc w:val="center"/>
              <w:spacing w:before="0" w:after="40"/>
            </w:pPr>
            <w:r>
              <w:rPr>
                <w:rFonts w:ascii="Calibri" w:hAnsi="Calibri"/>
                <w:color w:val="1F2328"/>
                <w:sz w:val="20"/>
              </w:rPr>
              <w:t>1 -- High</w:t>
            </w:r>
          </w:p>
        </w:tc>
        <w:tc>
          <w:tcPr>
            <w:tcW w:type="dxa" w:w="2835"/>
            <w:shd w:val="clear" w:color="auto" w:fill="FFFFFF"/>
            <w:vAlign w:val="center"/>
          </w:tcPr>
          <w:p>
            <w:pPr>
              <w:jc w:val="center"/>
              <w:spacing w:before="0" w:after="40"/>
            </w:pPr>
            <w:r>
              <w:rPr>
                <w:rFonts w:ascii="Calibri" w:hAnsi="Calibri"/>
                <w:color w:val="1F2328"/>
                <w:sz w:val="20"/>
              </w:rPr>
              <w:t>M2M Contract Conversion</w:t>
            </w:r>
          </w:p>
        </w:tc>
        <w:tc>
          <w:tcPr>
            <w:tcW w:type="dxa" w:w="2835"/>
            <w:shd w:val="clear" w:color="auto" w:fill="FFFFFF"/>
            <w:vAlign w:val="center"/>
          </w:tcPr>
          <w:p>
            <w:pPr>
              <w:jc w:val="center"/>
              <w:spacing w:before="0" w:after="40"/>
            </w:pPr>
            <w:r>
              <w:rPr>
                <w:rFonts w:ascii="Calibri" w:hAnsi="Calibri"/>
                <w:color w:val="1F2328"/>
                <w:sz w:val="20"/>
              </w:rPr>
              <w:t>M2M + prob &gt; 60% + tenure &lt; 6 mo</w:t>
            </w:r>
          </w:p>
        </w:tc>
        <w:tc>
          <w:tcPr>
            <w:tcW w:type="dxa" w:w="2835"/>
            <w:shd w:val="clear" w:color="auto" w:fill="FFFFFF"/>
            <w:vAlign w:val="center"/>
          </w:tcPr>
          <w:p>
            <w:pPr>
              <w:jc w:val="center"/>
              <w:spacing w:before="0" w:after="40"/>
            </w:pPr>
            <w:r>
              <w:rPr>
                <w:rFonts w:ascii="Calibri" w:hAnsi="Calibri"/>
                <w:color w:val="1F2328"/>
                <w:sz w:val="20"/>
              </w:rPr>
              <w:t>42.7% vs 2.8% churn (correlation)</w:t>
            </w:r>
          </w:p>
        </w:tc>
      </w:tr>
      <w:tr>
        <w:tc>
          <w:tcPr>
            <w:tcW w:type="dxa" w:w="1417"/>
            <w:shd w:val="clear" w:color="auto" w:fill="F7F8FA"/>
            <w:vAlign w:val="center"/>
          </w:tcPr>
          <w:p>
            <w:pPr>
              <w:jc w:val="center"/>
              <w:spacing w:before="0" w:after="40"/>
            </w:pPr>
            <w:r>
              <w:rPr>
                <w:rFonts w:ascii="Calibri" w:hAnsi="Calibri"/>
                <w:color w:val="1F2328"/>
                <w:sz w:val="20"/>
              </w:rPr>
              <w:t>2 -- High</w:t>
            </w:r>
          </w:p>
        </w:tc>
        <w:tc>
          <w:tcPr>
            <w:tcW w:type="dxa" w:w="2835"/>
            <w:shd w:val="clear" w:color="auto" w:fill="F7F8FA"/>
            <w:vAlign w:val="center"/>
          </w:tcPr>
          <w:p>
            <w:pPr>
              <w:jc w:val="center"/>
              <w:spacing w:before="0" w:after="40"/>
            </w:pPr>
            <w:r>
              <w:rPr>
                <w:rFonts w:ascii="Calibri" w:hAnsi="Calibri"/>
                <w:color w:val="1F2328"/>
                <w:sz w:val="20"/>
              </w:rPr>
              <w:t>Fiber Optic Value Assurance</w:t>
            </w:r>
          </w:p>
        </w:tc>
        <w:tc>
          <w:tcPr>
            <w:tcW w:type="dxa" w:w="2835"/>
            <w:shd w:val="clear" w:color="auto" w:fill="F7F8FA"/>
            <w:vAlign w:val="center"/>
          </w:tcPr>
          <w:p>
            <w:pPr>
              <w:jc w:val="center"/>
              <w:spacing w:before="0" w:after="40"/>
            </w:pPr>
            <w:r>
              <w:rPr>
                <w:rFonts w:ascii="Calibri" w:hAnsi="Calibri"/>
                <w:color w:val="1F2328"/>
                <w:sz w:val="20"/>
              </w:rPr>
              <w:t>Fiber Optic + top risk quartile</w:t>
            </w:r>
          </w:p>
        </w:tc>
        <w:tc>
          <w:tcPr>
            <w:tcW w:type="dxa" w:w="2835"/>
            <w:shd w:val="clear" w:color="auto" w:fill="F7F8FA"/>
            <w:vAlign w:val="center"/>
          </w:tcPr>
          <w:p>
            <w:pPr>
              <w:jc w:val="center"/>
              <w:spacing w:before="0" w:after="40"/>
            </w:pPr>
            <w:r>
              <w:rPr>
                <w:rFonts w:ascii="Calibri" w:hAnsi="Calibri"/>
                <w:color w:val="1F2328"/>
                <w:sz w:val="20"/>
              </w:rPr>
              <w:t>Highest churn cohort in dataset</w:t>
            </w:r>
          </w:p>
        </w:tc>
      </w:tr>
      <w:tr>
        <w:tc>
          <w:tcPr>
            <w:tcW w:type="dxa" w:w="1417"/>
            <w:shd w:val="clear" w:color="auto" w:fill="FFFFFF"/>
            <w:vAlign w:val="center"/>
          </w:tcPr>
          <w:p>
            <w:pPr>
              <w:jc w:val="center"/>
              <w:spacing w:before="0" w:after="40"/>
            </w:pPr>
            <w:r>
              <w:rPr>
                <w:rFonts w:ascii="Calibri" w:hAnsi="Calibri"/>
                <w:color w:val="1F2328"/>
                <w:sz w:val="20"/>
              </w:rPr>
              <w:t>3 -- Medium</w:t>
            </w:r>
          </w:p>
        </w:tc>
        <w:tc>
          <w:tcPr>
            <w:tcW w:type="dxa" w:w="2835"/>
            <w:shd w:val="clear" w:color="auto" w:fill="FFFFFF"/>
            <w:vAlign w:val="center"/>
          </w:tcPr>
          <w:p>
            <w:pPr>
              <w:jc w:val="center"/>
              <w:spacing w:before="0" w:after="40"/>
            </w:pPr>
            <w:r>
              <w:rPr>
                <w:rFonts w:ascii="Calibri" w:hAnsi="Calibri"/>
                <w:color w:val="1F2328"/>
                <w:sz w:val="20"/>
              </w:rPr>
              <w:t>Early Onboarding Workflow</w:t>
            </w:r>
          </w:p>
        </w:tc>
        <w:tc>
          <w:tcPr>
            <w:tcW w:type="dxa" w:w="2835"/>
            <w:shd w:val="clear" w:color="auto" w:fill="FFFFFF"/>
            <w:vAlign w:val="center"/>
          </w:tcPr>
          <w:p>
            <w:pPr>
              <w:jc w:val="center"/>
              <w:spacing w:before="0" w:after="40"/>
            </w:pPr>
            <w:r>
              <w:rPr>
                <w:rFonts w:ascii="Calibri" w:hAnsi="Calibri"/>
                <w:color w:val="1F2328"/>
                <w:sz w:val="20"/>
              </w:rPr>
              <w:t>Tenure &lt; 6 mo + prob &gt; 40%</w:t>
            </w:r>
          </w:p>
        </w:tc>
        <w:tc>
          <w:tcPr>
            <w:tcW w:type="dxa" w:w="2835"/>
            <w:shd w:val="clear" w:color="auto" w:fill="FFFFFF"/>
            <w:vAlign w:val="center"/>
          </w:tcPr>
          <w:p>
            <w:pPr>
              <w:jc w:val="center"/>
              <w:spacing w:before="0" w:after="40"/>
            </w:pPr>
            <w:r>
              <w:rPr>
                <w:rFonts w:ascii="Calibri" w:hAnsi="Calibri"/>
                <w:color w:val="1F2328"/>
                <w:sz w:val="20"/>
              </w:rPr>
              <w:t>0-12 mo highest churn concentration</w:t>
            </w:r>
          </w:p>
        </w:tc>
      </w:tr>
      <w:tr>
        <w:tc>
          <w:tcPr>
            <w:tcW w:type="dxa" w:w="1417"/>
            <w:shd w:val="clear" w:color="auto" w:fill="F7F8FA"/>
            <w:vAlign w:val="center"/>
          </w:tcPr>
          <w:p>
            <w:pPr>
              <w:jc w:val="center"/>
              <w:spacing w:before="0" w:after="40"/>
            </w:pPr>
            <w:r>
              <w:rPr>
                <w:rFonts w:ascii="Calibri" w:hAnsi="Calibri"/>
                <w:color w:val="1F2328"/>
                <w:sz w:val="20"/>
              </w:rPr>
              <w:t>4 -- Medium</w:t>
            </w:r>
          </w:p>
        </w:tc>
        <w:tc>
          <w:tcPr>
            <w:tcW w:type="dxa" w:w="2835"/>
            <w:shd w:val="clear" w:color="auto" w:fill="F7F8FA"/>
            <w:vAlign w:val="center"/>
          </w:tcPr>
          <w:p>
            <w:pPr>
              <w:jc w:val="center"/>
              <w:spacing w:before="0" w:after="40"/>
            </w:pPr>
            <w:r>
              <w:rPr>
                <w:rFonts w:ascii="Calibri" w:hAnsi="Calibri"/>
                <w:color w:val="1F2328"/>
                <w:sz w:val="20"/>
              </w:rPr>
              <w:t>Senior Digital Concierge</w:t>
            </w:r>
          </w:p>
        </w:tc>
        <w:tc>
          <w:tcPr>
            <w:tcW w:type="dxa" w:w="2835"/>
            <w:shd w:val="clear" w:color="auto" w:fill="F7F8FA"/>
            <w:vAlign w:val="center"/>
          </w:tcPr>
          <w:p>
            <w:pPr>
              <w:jc w:val="center"/>
              <w:spacing w:before="0" w:after="40"/>
            </w:pPr>
            <w:r>
              <w:rPr>
                <w:rFonts w:ascii="Calibri" w:hAnsi="Calibri"/>
                <w:color w:val="1F2328"/>
                <w:sz w:val="20"/>
              </w:rPr>
              <w:t>Senior + Fiber Optic + e-check payment</w:t>
            </w:r>
          </w:p>
        </w:tc>
        <w:tc>
          <w:tcPr>
            <w:tcW w:type="dxa" w:w="2835"/>
            <w:shd w:val="clear" w:color="auto" w:fill="F7F8FA"/>
            <w:vAlign w:val="center"/>
          </w:tcPr>
          <w:p>
            <w:pPr>
              <w:jc w:val="center"/>
              <w:spacing w:before="0" w:after="40"/>
            </w:pPr>
            <w:r>
              <w:rPr>
                <w:rFonts w:ascii="Calibri" w:hAnsi="Calibri"/>
                <w:color w:val="1F2328"/>
                <w:sz w:val="20"/>
              </w:rPr>
              <w:t>Highest observed churn cohort</w:t>
            </w:r>
          </w:p>
        </w:tc>
      </w:tr>
      <w:tr>
        <w:tc>
          <w:tcPr>
            <w:tcW w:type="dxa" w:w="1417"/>
            <w:shd w:val="clear" w:color="auto" w:fill="FFFFFF"/>
            <w:vAlign w:val="center"/>
          </w:tcPr>
          <w:p>
            <w:pPr>
              <w:jc w:val="center"/>
              <w:spacing w:before="0" w:after="40"/>
            </w:pPr>
            <w:r>
              <w:rPr>
                <w:rFonts w:ascii="Calibri" w:hAnsi="Calibri"/>
                <w:color w:val="1F2328"/>
                <w:sz w:val="20"/>
              </w:rPr>
              <w:t>5 -- Medium</w:t>
            </w:r>
          </w:p>
        </w:tc>
        <w:tc>
          <w:tcPr>
            <w:tcW w:type="dxa" w:w="2835"/>
            <w:shd w:val="clear" w:color="auto" w:fill="FFFFFF"/>
            <w:vAlign w:val="center"/>
          </w:tcPr>
          <w:p>
            <w:pPr>
              <w:jc w:val="center"/>
              <w:spacing w:before="0" w:after="40"/>
            </w:pPr>
            <w:r>
              <w:rPr>
                <w:rFonts w:ascii="Calibri" w:hAnsi="Calibri"/>
                <w:color w:val="1F2328"/>
                <w:sz w:val="20"/>
              </w:rPr>
              <w:t>E-Check Auto-Pay Incentive</w:t>
            </w:r>
          </w:p>
        </w:tc>
        <w:tc>
          <w:tcPr>
            <w:tcW w:type="dxa" w:w="2835"/>
            <w:shd w:val="clear" w:color="auto" w:fill="FFFFFF"/>
            <w:vAlign w:val="center"/>
          </w:tcPr>
          <w:p>
            <w:pPr>
              <w:jc w:val="center"/>
              <w:spacing w:before="0" w:after="40"/>
            </w:pPr>
            <w:r>
              <w:rPr>
                <w:rFonts w:ascii="Calibri" w:hAnsi="Calibri"/>
                <w:color w:val="1F2328"/>
                <w:sz w:val="20"/>
              </w:rPr>
              <w:t>E-check payers + prob &gt; 30%</w:t>
            </w:r>
          </w:p>
        </w:tc>
        <w:tc>
          <w:tcPr>
            <w:tcW w:type="dxa" w:w="2835"/>
            <w:shd w:val="clear" w:color="auto" w:fill="FFFFFF"/>
            <w:vAlign w:val="center"/>
          </w:tcPr>
          <w:p>
            <w:pPr>
              <w:jc w:val="center"/>
              <w:spacing w:before="0" w:after="40"/>
            </w:pPr>
            <w:r>
              <w:rPr>
                <w:rFonts w:ascii="Calibri" w:hAnsi="Calibri"/>
                <w:color w:val="1F2328"/>
                <w:sz w:val="20"/>
              </w:rPr>
              <w:t>Most common payment among churners</w:t>
            </w:r>
          </w:p>
        </w:tc>
      </w:tr>
    </w:tbl>
    <w:p/>
    <w:p>
      <w:r>
        <w:br w:type="page"/>
      </w:r>
    </w:p>
    <w:p>
      <w:pPr>
        <w:spacing w:before="120" w:after="120"/>
        <w:pBdr>
          <w:bottom w:val="single" w:sz="6" w:space="1" w:color="57606A"/>
        </w:pBdr>
      </w:pPr>
      <w:r>
        <w:rPr>
          <w:rFonts w:ascii="Calibri" w:hAnsi="Calibri"/>
          <w:b/>
          <w:color w:val="57606A"/>
          <w:sz w:val="20"/>
        </w:rPr>
        <w:t>End of Report</w:t>
      </w:r>
    </w:p>
    <w:p>
      <w:pPr>
        <w:jc w:val="center"/>
        <w:spacing w:before="0" w:after="40"/>
      </w:pPr>
      <w:r>
        <w:rPr>
          <w:rFonts w:ascii="Calibri" w:hAnsi="Calibri"/>
          <w:i/>
          <w:color w:val="57606A"/>
          <w:sz w:val="17"/>
        </w:rPr>
        <w:t>Telco Customer Churn Analytics &amp; ML Project  --  All model metrics computed from actual dataset execution  --  4-Tier Analytics Ladder</w:t>
      </w:r>
    </w:p>
    <w:sectPr w:rsidR="00FC693F" w:rsidRPr="0006063C" w:rsidSect="00034616">
      <w:pgSz w:w="12240" w:h="15840"/>
      <w:pgMar w:top="1134"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32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