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72"/>
          <w:szCs w:val="72"/>
        </w:rPr>
        <w:t xml:space="preserve">AMOSKYS</w:t>
      </w:r>
    </w:p>
    <w:p>
      <w:pPr>
        <w:spacing w:after="100"/>
        <w:jc w:val="center"/>
      </w:pPr>
      <w:r>
        <w:rPr>
          <w:rFonts w:ascii="Arial" w:cs="Arial" w:eastAsia="Arial" w:hAnsi="Arial"/>
          <w:color w:val="2E5090"/>
          <w:sz w:val="32"/>
          <w:szCs w:val="32"/>
        </w:rPr>
        <w:t xml:space="preserve">Neural Security Platform</w:t>
      </w:r>
    </w:p>
    <w:p>
      <w:pPr>
        <w:pBdr>
          <w:bottom w:val="single" w:color="E85D26" w:sz="6" w:space="1"/>
        </w:pBdr>
        <w:spacing w:after="600"/>
        <w:jc w:val="center"/>
      </w:pPr>
    </w:p>
    <w:p>
      <w:pPr>
        <w:spacing w:after="100"/>
        <w:jc w:val="center"/>
      </w:pPr>
      <w:r>
        <w:rPr>
          <w:rFonts w:ascii="Arial" w:cs="Arial" w:eastAsia="Arial" w:hAnsi="Arial"/>
          <w:b/>
          <w:bCs/>
          <w:color w:val="1B2A4A"/>
          <w:sz w:val="44"/>
          <w:szCs w:val="44"/>
        </w:rPr>
        <w:t xml:space="preserve">Endpoint Attack Surface</w:t>
      </w:r>
    </w:p>
    <w:p>
      <w:pPr>
        <w:spacing w:after="100"/>
        <w:jc w:val="center"/>
      </w:pPr>
      <w:r>
        <w:rPr>
          <w:rFonts w:ascii="Arial" w:cs="Arial" w:eastAsia="Arial" w:hAnsi="Arial"/>
          <w:b/>
          <w:bCs/>
          <w:color w:val="1B2A4A"/>
          <w:sz w:val="44"/>
          <w:szCs w:val="44"/>
        </w:rPr>
        <w:t xml:space="preserve">Coverage Map (ASCM)</w:t>
      </w:r>
    </w:p>
    <w:p>
      <w:pPr>
        <w:spacing w:after="600"/>
        <w:jc w:val="center"/>
      </w:pPr>
      <w:r>
        <w:rPr>
          <w:rFonts w:ascii="Arial" w:cs="Arial" w:eastAsia="Arial" w:hAnsi="Arial"/>
          <w:color w:val="E85D26"/>
          <w:sz w:val="28"/>
          <w:szCs w:val="28"/>
        </w:rPr>
        <w:t xml:space="preserve">v1.0 Skeleton</w:t>
      </w:r>
    </w:p>
    <w:p>
      <w:pPr>
        <w:spacing w:after="100"/>
        <w:jc w:val="center"/>
      </w:pPr>
      <w:r>
        <w:rPr>
          <w:rFonts w:ascii="Arial" w:cs="Arial" w:eastAsia="Arial" w:hAnsi="Arial"/>
          <w:color w:val="808080"/>
          <w:sz w:val="20"/>
          <w:szCs w:val="20"/>
        </w:rPr>
        <w:t xml:space="preserve">75 Active Probes  |  9 Agents  |  15 Attack Surfaces  |  66 MITRE Techniques</w:t>
      </w:r>
    </w:p>
    <w:p>
      <w:pPr>
        <w:spacing w:before="1200"/>
      </w:pPr>
    </w:p>
    <w:p>
      <w:pPr>
        <w:jc w:val="center"/>
      </w:pPr>
      <w:r>
        <w:rPr>
          <w:rFonts w:ascii="Arial" w:cs="Arial" w:eastAsia="Arial" w:hAnsi="Arial"/>
          <w:b/>
          <w:bCs/>
          <w:color w:val="C00000"/>
          <w:sz w:val="20"/>
          <w:szCs w:val="20"/>
        </w:rPr>
        <w:t xml:space="preserve">CONFIDENTIAL</w:t>
      </w:r>
    </w:p>
    <w:p>
      <w:pPr>
        <w:spacing w:after="100"/>
        <w:jc w:val="center"/>
      </w:pPr>
      <w:r>
        <w:rPr>
          <w:rFonts w:ascii="Arial" w:cs="Arial" w:eastAsia="Arial" w:hAnsi="Arial"/>
          <w:color w:val="808080"/>
          <w:sz w:val="20"/>
          <w:szCs w:val="20"/>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rFonts w:ascii="Arial" w:cs="Arial" w:eastAsia="Arial" w:hAnsi="Arial"/>
          <w:sz w:val="20"/>
          <w:szCs w:val="20"/>
        </w:rPr>
        <w:t xml:space="preserve">This document defines the complete Endpoint Attack Surface Coverage Map (ASCM) for the AMOSKYS Neural Security Platform. The ASCM is the master checklist that every agent, probe, and pipeline component must satisfy. It maps every known attack surface to the specific probes that observe it, the attributes those probes collect, the MITRE ATT&amp;CK techniques they detect, and the expected evidence chain.</w:t>
      </w:r>
    </w:p>
    <w:p>
      <w:pPr>
        <w:spacing w:after="200"/>
      </w:pPr>
      <w:r>
        <w:rPr>
          <w:rFonts w:ascii="Arial" w:cs="Arial" w:eastAsia="Arial" w:hAnsi="Arial"/>
          <w:b/>
          <w:bCs/>
          <w:i/>
          <w:iCs/>
          <w:color w:val="2E5090"/>
          <w:sz w:val="20"/>
          <w:szCs w:val="20"/>
        </w:rPr>
        <w:t xml:space="preserve">North Star: Build a platform that sees the full endpoint attack surface, cannot be quietly blinded, and can prove what it saw, how it transported it, and how it stored it.</w:t>
      </w:r>
    </w:p>
    <w:tbl>
      <w:tblPr>
        <w:tblW w:type="dxa" w:w="48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tblGrid>
      <w:tr>
        <w:tc>
          <w:tcPr>
            <w:tcW w:type="dxa" w:w="32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Metric</w:t>
            </w:r>
          </w:p>
        </w:tc>
        <w:tc>
          <w:tcPr>
            <w:tcW w:type="dxa" w:w="16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Count</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8"/>
                <w:szCs w:val="18"/>
              </w:rPr>
              <w:t xml:space="preserve">Total Probes (Active)</w:t>
            </w:r>
          </w:p>
        </w:tc>
        <w:tc>
          <w:tcPr>
            <w:tcW w:type="dxa" w:w="16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22"/>
                <w:szCs w:val="22"/>
              </w:rPr>
              <w:t xml:space="preserve">75</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8"/>
                <w:szCs w:val="18"/>
              </w:rPr>
              <w:t xml:space="preserve">Identified Gaps</w:t>
            </w:r>
          </w:p>
        </w:tc>
        <w:tc>
          <w:tcPr>
            <w:tcW w:type="dxa" w:w="16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000000"/>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8"/>
                <w:szCs w:val="18"/>
              </w:rPr>
              <w:t xml:space="preserve">Attack Surface Areas</w:t>
            </w:r>
          </w:p>
        </w:tc>
        <w:tc>
          <w:tcPr>
            <w:tcW w:type="dxa" w:w="1600"/>
            <w:tcBorders>
              <w:top w:val="single" w:color="CCCCCC" w:sz="1"/>
              <w:left w:val="single" w:color="CCCCCC" w:sz="1"/>
              <w:bottom w:val="single" w:color="CCCCCC" w:sz="1"/>
              <w:right w:val="single" w:color="CCCCCC" w:sz="1"/>
            </w:tcBorders>
            <w:shd w:fill="D6E4F0" w:val="clear"/>
            <w:tcMar>
              <w:top w:type="dxa" w:w="40"/>
              <w:left w:type="dxa" w:w="80"/>
              <w:bottom w:type="dxa" w:w="40"/>
              <w:right w:type="dxa" w:w="80"/>
            </w:tcMar>
          </w:tcPr>
          <w:p>
            <w:pPr>
              <w:spacing w:line="216"/>
              <w:jc w:val="center"/>
            </w:pPr>
            <w:r>
              <w:rPr>
                <w:rFonts w:ascii="Arial" w:cs="Arial" w:eastAsia="Arial" w:hAnsi="Arial"/>
                <w:b/>
                <w:bCs/>
                <w:color w:val="000000"/>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8"/>
                <w:szCs w:val="18"/>
              </w:rPr>
              <w:t xml:space="preserve">Canonical Agents</w:t>
            </w:r>
          </w:p>
        </w:tc>
        <w:tc>
          <w:tcPr>
            <w:tcW w:type="dxa" w:w="1600"/>
            <w:tcBorders>
              <w:top w:val="single" w:color="CCCCCC" w:sz="1"/>
              <w:left w:val="single" w:color="CCCCCC" w:sz="1"/>
              <w:bottom w:val="single" w:color="CCCCCC" w:sz="1"/>
              <w:right w:val="single" w:color="CCCCCC" w:sz="1"/>
            </w:tcBorders>
            <w:shd w:fill="D6E4F0" w:val="clear"/>
            <w:tcMar>
              <w:top w:type="dxa" w:w="40"/>
              <w:left w:type="dxa" w:w="80"/>
              <w:bottom w:type="dxa" w:w="40"/>
              <w:right w:type="dxa" w:w="80"/>
            </w:tcMar>
          </w:tcPr>
          <w:p>
            <w:pPr>
              <w:spacing w:line="216"/>
              <w:jc w:val="center"/>
            </w:pPr>
            <w:r>
              <w:rPr>
                <w:rFonts w:ascii="Arial" w:cs="Arial" w:eastAsia="Arial" w:hAnsi="Arial"/>
                <w:b/>
                <w:bCs/>
                <w:color w:val="000000"/>
                <w:sz w:val="22"/>
                <w:szCs w:val="22"/>
              </w:rPr>
              <w:t xml:space="preserve">9</w:t>
            </w:r>
          </w:p>
        </w:tc>
      </w:tr>
      <w:tr>
        <w:tc>
          <w:tcPr>
            <w:tcW w:type="dxa" w:w="3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8"/>
                <w:szCs w:val="18"/>
              </w:rPr>
              <w:t xml:space="preserve">MITRE Techniques Covered</w:t>
            </w:r>
          </w:p>
        </w:tc>
        <w:tc>
          <w:tcPr>
            <w:tcW w:type="dxa" w:w="1600"/>
            <w:tcBorders>
              <w:top w:val="single" w:color="CCCCCC" w:sz="1"/>
              <w:left w:val="single" w:color="CCCCCC" w:sz="1"/>
              <w:bottom w:val="single" w:color="CCCCCC" w:sz="1"/>
              <w:right w:val="single" w:color="CCCCCC" w:sz="1"/>
            </w:tcBorders>
            <w:shd w:fill="D6E4F0" w:val="clear"/>
            <w:tcMar>
              <w:top w:type="dxa" w:w="40"/>
              <w:left w:type="dxa" w:w="80"/>
              <w:bottom w:type="dxa" w:w="40"/>
              <w:right w:type="dxa" w:w="80"/>
            </w:tcMar>
          </w:tcPr>
          <w:p>
            <w:pPr>
              <w:spacing w:line="216"/>
              <w:jc w:val="center"/>
            </w:pPr>
            <w:r>
              <w:rPr>
                <w:rFonts w:ascii="Arial" w:cs="Arial" w:eastAsia="Arial" w:hAnsi="Arial"/>
                <w:b/>
                <w:bCs/>
                <w:color w:val="000000"/>
                <w:sz w:val="22"/>
                <w:szCs w:val="22"/>
              </w:rPr>
              <w:t xml:space="preserve">66</w:t>
            </w:r>
          </w:p>
        </w:tc>
      </w:tr>
    </w:tbl>
    <w:p>
      <w:pPr>
        <w:spacing w:before="200" w:after="100"/>
      </w:pPr>
    </w:p>
    <w:p>
      <w:pPr>
        <w:pStyle w:val="Heading1"/>
      </w:pPr>
      <w:r>
        <w:t xml:space="preserve">2. Agent Inventory</w:t>
      </w:r>
    </w:p>
    <w:p>
      <w:pPr>
        <w:spacing w:after="200"/>
      </w:pPr>
      <w:r>
        <w:rPr>
          <w:rFonts w:ascii="Arial" w:cs="Arial" w:eastAsia="Arial" w:hAnsi="Arial"/>
          <w:sz w:val="20"/>
          <w:szCs w:val="20"/>
        </w:rPr>
        <w:t xml:space="preserve">Each canonical agent follows the MicroProbeAgentMixin + HardenedAgentBase pattern, providing circuit breaker protection, cryptographic telemetry signing (Ed25519), and independent micro-probes for threat detection.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2400"/>
      </w:tblGrid>
      <w:tr>
        <w:tc>
          <w:tcPr>
            <w:tcW w:type="dxa" w:w="24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Agent</w:t>
            </w:r>
          </w:p>
        </w:tc>
        <w:tc>
          <w:tcPr>
            <w:tcW w:type="dxa" w:w="12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Probes</w:t>
            </w:r>
          </w:p>
        </w:tc>
        <w:tc>
          <w:tcPr>
            <w:tcW w:type="dxa" w:w="24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Attack Surfaces</w:t>
            </w:r>
          </w:p>
        </w:tc>
        <w:tc>
          <w:tcPr>
            <w:tcW w:type="dxa" w:w="24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MITRE Techniques</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proc_v3</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10</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Process Execution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T1059, T1218, T1055, T1204, T1059.004, T1574.006, T1553.002, T1496, T1543, T1078</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auth_v2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8</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Authentication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T1110.001, T1110.003, T1078.004, T1548.003, T1078, T1556.006, T1110</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dns_v2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9</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 Resolution</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T1071.004, T1568.002, T1583.001, T1048.003, T1568.001, T1071</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fim_v2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9</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File System Integrity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T1565.001, T1548.001, T1543, T1505.003, T1546, T1574.001, T1542, T1222, T1553.005</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persistence_v2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10</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 Mechanisms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T1543.001, T1543.002, T1053.003, T1098.004, T1546.004, T1176, T1547.001, T1564.001, T1556</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flow_v2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9</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Network Connections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T1046, T1021, T1048, T1071, T1552, T1572, T1018, T1133, T1090</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peripheral_v2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7</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 Devices</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T1200, T1052.001, T1011.001</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kernel_audit_v2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7</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 Security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T1059, T1068, T1014, T1055.008, T1222, T1562.001, T1499</w:t>
            </w:r>
          </w:p>
        </w:tc>
      </w:tr>
      <w:tr>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6"/>
                <w:szCs w:val="16"/>
              </w:rPr>
              <w:t xml:space="preserve">device_discovery_v2</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000000"/>
                <w:sz w:val="16"/>
                <w:szCs w:val="16"/>
              </w:rPr>
              <w:t xml:space="preserve">6</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Network Discovery</w:t>
            </w:r>
          </w:p>
        </w:tc>
        <w:tc>
          <w:tcPr>
            <w:tcW w:type="dxa" w:w="2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T1018, T1046, T1200, T1557, T1592</w:t>
            </w:r>
          </w:p>
        </w:tc>
      </w:tr>
    </w:tbl>
    <w:p>
      <w:r>
        <w:br w:type="page"/>
      </w:r>
    </w:p>
    <w:p>
      <w:pPr>
        <w:pStyle w:val="Heading1"/>
      </w:pPr>
      <w:r>
        <w:t xml:space="preserve">3. MITRE ATT&amp;CK Coverage by Tactic</w:t>
      </w:r>
    </w:p>
    <w:p>
      <w:pPr>
        <w:spacing w:after="200"/>
      </w:pPr>
      <w:r>
        <w:rPr>
          <w:rFonts w:ascii="Arial" w:cs="Arial" w:eastAsia="Arial" w:hAnsi="Arial"/>
          <w:sz w:val="20"/>
          <w:szCs w:val="20"/>
        </w:rPr>
        <w:t xml:space="preserve">Coverage assessment against MITRE ATT&amp;CK for macOS/Linux. Green indicates 80%+ technique coverage within the tactic, yellow indicates 50-79%, and red indicates below 50%.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200"/>
        <w:gridCol w:w="1200"/>
      </w:tblGrid>
      <w:tr>
        <w:tc>
          <w:tcPr>
            <w:tcW w:type="dxa" w:w="22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Tactic</w:t>
            </w:r>
          </w:p>
        </w:tc>
        <w:tc>
          <w:tcPr>
            <w:tcW w:type="dxa" w:w="38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Techniques</w:t>
            </w:r>
          </w:p>
        </w:tc>
        <w:tc>
          <w:tcPr>
            <w:tcW w:type="dxa" w:w="12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Covered</w:t>
            </w:r>
          </w:p>
        </w:tc>
        <w:tc>
          <w:tcPr>
            <w:tcW w:type="dxa" w:w="12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Total</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Initial Access</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T1200, T1195.002, T1133</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2/3 (67%)</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3</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Execution</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T1059, T1059.004, T1204, T1218</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4/4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4</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Persistence</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T1543, T1543.001, T1543.002, T1547.001, T1053.003, T1546, T1546.004, T1176, T1564.001, T1556</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10/10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10</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Privilege Escalation</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T1548.001, T1548.003, T1068, T1078, T1078.004</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5/5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5</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Defense Evasion</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T1014, T1222, T1553.001, T1553.002, T1553.005, T1562, T1562.001, T1574.001, T1574.006, T1542, T1620</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8/11 (73%)</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11</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Credential Access</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T1110, T1110.001, T1110.003, T1555.001, T1552, T1552.001, T1556.006</w:t>
            </w:r>
          </w:p>
        </w:tc>
        <w:tc>
          <w:tcPr>
            <w:tcW w:type="dxa" w:w="1200"/>
            <w:tcBorders>
              <w:top w:val="single" w:color="CCCCCC" w:sz="1"/>
              <w:left w:val="single" w:color="CCCCCC" w:sz="1"/>
              <w:bottom w:val="single" w:color="CCCCCC" w:sz="1"/>
              <w:right w:val="single" w:color="CCCCCC" w:sz="1"/>
            </w:tcBorders>
            <w:shd w:fill="FFF2CC"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5/7 (71%)</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7</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Discovery</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T1018, T1046, T1592</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3/3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3</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Lateral Movement</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T1021</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1/1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1</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Collection</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T1115, T1113</w:t>
            </w:r>
          </w:p>
        </w:tc>
        <w:tc>
          <w:tcPr>
            <w:tcW w:type="dxa" w:w="12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0/2 (0%)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2</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Command and Control</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T1071, T1071.004, T1090, T1568.001, T1568.002, T1572, T1583.001</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7/7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7</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Exfiltration</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T1048, T1048.003, T1052.001, T1011.001</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4/4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4</w:t>
            </w:r>
          </w:p>
        </w:tc>
      </w:tr>
      <w:tr>
        <w:tc>
          <w:tcPr>
            <w:tcW w:type="dxa" w:w="2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bCs/>
                <w:color w:val="000000"/>
                <w:sz w:val="15"/>
                <w:szCs w:val="15"/>
              </w:rPr>
              <w:t xml:space="preserve">Impact</w:t>
            </w:r>
          </w:p>
        </w:tc>
        <w:tc>
          <w:tcPr>
            <w:tcW w:type="dxa" w:w="3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3"/>
                <w:szCs w:val="13"/>
              </w:rPr>
              <w:t xml:space="preserve">T1496, T1499, T1565.001</w:t>
            </w:r>
          </w:p>
        </w:tc>
        <w:tc>
          <w:tcPr>
            <w:tcW w:type="dxa" w:w="12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000000"/>
                <w:sz w:val="14"/>
                <w:szCs w:val="14"/>
              </w:rPr>
              <w:t xml:space="preserve">3/3 (100%)</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4"/>
                <w:szCs w:val="14"/>
              </w:rPr>
              <w:t xml:space="preserve">3</w:t>
            </w:r>
          </w:p>
        </w:tc>
      </w:tr>
    </w:tbl>
    <w:p>
      <w:r>
        <w:br w:type="page"/>
      </w:r>
    </w:p>
    <w:p>
      <w:pPr>
        <w:pStyle w:val="Heading1"/>
      </w:pPr>
      <w:r>
        <w:t xml:space="preserve">4. Complete Attack Surface Coverage Matrix</w:t>
      </w:r>
    </w:p>
    <w:p>
      <w:pPr>
        <w:spacing w:after="200"/>
      </w:pPr>
      <w:r>
        <w:rPr>
          <w:rFonts w:ascii="Arial" w:cs="Arial" w:eastAsia="Arial" w:hAnsi="Arial"/>
          <w:sz w:val="20"/>
          <w:szCs w:val="20"/>
        </w:rPr>
        <w:t xml:space="preserve">The definitive matrix mapping every attack surface to its observing probes, collected attributes, MITRE technique coverage, expected evidence, and current status. ACTIVE probes are implemented and tested. GAP entries represent identified blind spots requiring future development.</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1200"/>
        <w:gridCol w:w="2800"/>
        <w:gridCol w:w="3180"/>
        <w:gridCol w:w="1000"/>
        <w:gridCol w:w="1000"/>
      </w:tblGrid>
      <w:tr>
        <w:trPr>
          <w:tblHeader/>
        </w:trPr>
        <w:tc>
          <w:tcPr>
            <w:tcW w:type="dxa" w:w="16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Attack Surface</w:t>
            </w:r>
          </w:p>
        </w:tc>
        <w:tc>
          <w:tcPr>
            <w:tcW w:type="dxa" w:w="11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Agent</w:t>
            </w:r>
          </w:p>
        </w:tc>
        <w:tc>
          <w:tcPr>
            <w:tcW w:type="dxa" w:w="18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Probe</w:t>
            </w:r>
          </w:p>
        </w:tc>
        <w:tc>
          <w:tcPr>
            <w:tcW w:type="dxa" w:w="12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MITRE ATT&amp;CK</w:t>
            </w:r>
          </w:p>
        </w:tc>
        <w:tc>
          <w:tcPr>
            <w:tcW w:type="dxa" w:w="28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Attributes Collected</w:t>
            </w:r>
          </w:p>
        </w:tc>
        <w:tc>
          <w:tcPr>
            <w:tcW w:type="dxa" w:w="318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Expected Evidence</w:t>
            </w:r>
          </w:p>
        </w:tc>
        <w:tc>
          <w:tcPr>
            <w:tcW w:type="dxa" w:w="10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Status</w:t>
            </w:r>
          </w:p>
        </w:tc>
        <w:tc>
          <w:tcPr>
            <w:tcW w:type="dxa" w:w="10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Gap Priority</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Process Execution</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ProcessSpawnProbe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T1059</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pid, ppid, cmdline, user, binary_path, timestamp</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Telemetry event per new process spawn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LOLBinProbe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T1218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binary_name, cmdline, risk_score, lolbin_category</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Alert on living-off-the-land binary execution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ProcessTreeProbe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parent_chain, tree_depth, anomaly_score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Process lineage with anomaly flagging</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BinaryFromTempProbe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binary_path, is_temp, hash_sha256</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Alert on execution from /tmp, /dev/shm, Downloads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ScriptInterpreterProbe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T1059.004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interpreter, script_path, cmdline_args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Track python/bash/osascript invocations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DylibInjectionProbe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T1574.006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dyld_insert_libraries, loaded_dylibs, anomaly_flag</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Detect DYLD_INSERT_LIBRARIES abuse</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CodeSigningProbe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T1553.002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signing_status, team_id, entitlements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Verify code signatures via codesign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HighCPUMemoryProbe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T1496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cpu_percent, memory_mb, duration_s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Resource abuse / cryptominer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LongLivedProbe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uptime_hours, expected_lifetime, anomaly_flag</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Detect abnormally persistent processes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proc_v3</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SuspiciousUserProbe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uid, username, is_service_account, shell</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Alert on unusual user context for process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Authentication</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SSHBruteForceProbe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T1110.001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source_ip, attempt_count, window_s, user</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Brute force pattern detection (&gt;N fails/window)</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SSHPasswordSprayProbe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T1110.003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source_ip, unique_users, window_s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Single IP trying multiple usernames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SSHGeoImpossibleTravelProbe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T1078.004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source_ip, geo_lat_lon, prev_login_geo, distance_km</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Impossible travel detection between logins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SudoElevationProbe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T1548.003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user, command, timestamp, success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All sudo elevation events captured</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SudoSuspiciousCommandProbe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T1548.003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user, command, risk_score, category</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Sudo with high-risk commands flagged</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OffHoursLoginProbe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user, login_time, timezone, is_off_hours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Logins outside business hours flagged</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MFABypassAnomalyProbe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T1556.006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user, auth_method, mfa_status, anomaly_flag</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MFA bypass or downgrade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AccountLockoutStormProbe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T1110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locked_accounts_count, window_s, source_ips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Mass lockout event correlation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DNS Resolution</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RawDNSQueryProbe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T1071.004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query_name, query_type, response_code, ttl</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Full DNS query/response logging</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DGAScoreProbe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T1568.002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domain, dga_score, entropy, n_gram_score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DGA domain probability scoring</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BeaconingPatternProbe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T1071.004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domain, interval_mean, interval_jitter, beacon_score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Periodic DNS beacon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SuspiciousTLDProbe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T1583.001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domain, tld, risk_score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Queries to high-risk TLDs flagged</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NXDomainBurstProbe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T1568.002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nxdomain_count, window_s, unique_domains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NXDOMAIN flood detection (DGA indicator)</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LargeTXTTunnelingProbe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T1048.003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query_name, txt_size_bytes, entropy</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DNS tunneling via oversized TXT records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FastFluxRebindingProbe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T1568.001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domain, ip_count, ttl, flux_score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Fast-flux DNS infrastructure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NewDomainForProcessProbe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domain, process_name, first_seen, age_days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Process resolving never-before-seen domain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dns_v2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BlockedDomainHitProbe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domain, blocklist_source, process_name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Queries to known-bad domains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File System Integrity</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CriticalSystemFileChangeProbe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T1565.001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hash_before, hash_after, modifier_pid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Hash change on /etc/passwd, sudoers, etc.</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SUIDBitChangeProbe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T1548.001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old_mode, new_mode, owner</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SUID/SGID bit modification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ServiceCreationProbe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service_path, service_name, binary_path</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New LaunchDaemon/systemd service creation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WebShellDropProbe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T1505.003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web_root, file_type, content_hash</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Web shell file creation in web roots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ConfigBackdoorProbe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config_path, change_type, suspicious_pattern</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Backdoor patterns in config files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LibraryHijackProbe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T1574.001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library_path, expected_hash, actual_hash</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Shared library replacement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BootloaderTamperProbe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bootloader_path, hash_change, integrity_status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Boot sector / bootloader integrity</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WorldWritableSensitiveProbe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T1222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permissions, owner, risk_level</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World-writable sensitive file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fim_v2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ExtendedAttributesProbe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T1553.005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xattr_name, old_value, new_value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Quarantine bit removal, code signing xattr changes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Persistence Mechanisms</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LaunchAgentDaemonProbe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T1543.001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plist_path, program, label, run_at_load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New/modified LaunchAgent or LaunchDaemon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SystemdServiceProbe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T1543.002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unit_path, exec_start, enabled, wanted_by</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Systemd unit creation/modification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CronJobProbe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T1053.003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cron_entry, schedule, command, user</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Cron job creation/modification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SSHKeyBackdoorProbe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T1098.004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key_path, key_type, fingerprint, authorized_keys_change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SSH authorized_keys modification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ShellProfileHijackProbe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T1546.004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profile_path, change_type, suspicious_commands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.bashrc/.zshrc/.profile modification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BrowserExtensionProbe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T1176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extension_id, browser, permissions, install_source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Browser extension installation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StartupFolderLoginItemProbe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T1547.001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item_path, item_name, type, hidden</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Login item / startup folder addition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HiddenFilePersistenceProbe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T1564.001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is_hidden, creation_time, content_hash</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Hidden file creation in persistence paths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ConfigProfileProbe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T1176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profile_path, profile_id, payload_types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MDM-style configuration profile install</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persistence_v2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AuthPluginProbe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plugin_path, plugin_name, modification_time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Authorization plugin modification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Network Connections</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PortScanSweepProbe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T1046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source_ip, target_range, ports_scanned, scan_type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Port scan / network sweep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LateralSMBWinRMProbe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T1021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source_ip, dest_ip, protocol, auth_user</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SMB/WinRM lateral movement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DataExfilVolumeSpike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T1048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dest_ip, bytes_out, baseline_bytes, spike_ratio</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Egress volume anomaly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C2BeaconFlowProbe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T1071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dest_ip, interval_mean, jitter, beacon_score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C2 beaconing pattern in flow data</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CleartextCredentialLeakProbe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protocol, dest_ip, credential_pattern, port</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Cleartext credential transmission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SuspiciousTunnelProbe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T1572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tunnel_type, encap_protocol, dest_ip, anomaly_score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SSH/VPN/ICMP tunnel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InternalReconDNSProbe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T1018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query_targets, query_types, requester_ip</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Internal DNS reconnaissance patterns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NewExternalServiceProbe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T1133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listening_port, process_name, bind_address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New externally-facing service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flow_v2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TransparentProxyProbe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T1090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proxy_type, network_extension, process_name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Network Extension / transparent proxy install</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Peripheral Devices</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USBInventoryProbe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vendor_id, product_id, serial, device_class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Complete USB device inventory</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USBConnectionEdgeProbe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device_id, connect_time, disconnect_time, duration</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USB connect/disconnect event tracking</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USBStorageProbe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T1052.001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device_id, volume_name, mount_point, capacity_gb</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USB mass storage mount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USBNetworkAdapterProbe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device_id, adapter_name, mac_address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USB network adapter detection (rogue NIC)</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HIDKeyboardMouseProbe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device_id, hid_type, vendor, keystroke_rate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HID device monitoring (rubber ducky)</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BluetoothDeviceProbe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T1011.001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bt_address, device_name, device_class, paired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Bluetooth device enumeration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peripheral_v2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HighRiskPeripheralScoreProbe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device_id, risk_score, risk_factors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Composite peripheral risk scoring</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Kernel Security</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kernel_audit_v2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ExecveHighRiskProbe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T1059</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syscall, binary_path, uid, is_high_risk_path</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Execution from /tmp, /dev/shm detected</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kernel_audit_v2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PrivEscSyscallProbe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T1068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syscall, old_uid, new_uid, process_name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setuid/setgid privilege escalation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kernel_audit_v2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KernelModuleLoadProbe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T1014</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module_name, module_path, loader_pid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Kernel extension/module load events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kernel_audit_v2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PtraceAbuseProbe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T1055.008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tracer_pid, tracee_pid, ptrace_request</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Process injection via ptrace</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kernel_audit_v2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FilePermissionTamperProbe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T1222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old_perms, new_perms, changer_pid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chmod/chown on sensitive files</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kernel_audit_v2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AuditTamperProbe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T1562.001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tamper_type, target_subsystem, actor_pid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Attempts to disable audit subsystem</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kernel_audit_v2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SyscallFloodProbe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T1499</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syscall_type, rate_per_sec, source_pid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Brute force / enumeration via syscall flood</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Network Discovery</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device_discovery_v2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ARPDiscoveryProbe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T1018</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ip_address, mac_address, vendor, first_seen</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ARP-based network device enumeration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device_discovery_v2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ActivePortScanFingerprintProbe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T1046</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ip_address, open_ports, os_fingerprint, services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Active port scan with OS fingerprinting</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device_discovery_v2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NewDeviceRiskProbe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ip_address, mac_address, risk_score, first_seen</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New device on network risk scoring</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device_discovery_v2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RogueDHCPDNSProbe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T1557</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server_ip, server_mac, is_authorized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Rogue DHCP/DNS server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device_discovery_v2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ShadowITProbe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T1200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device_ip, device_type, managed_status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Unmanaged device detection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device_discovery_v2</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VulnerabilityBannerProbe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T1592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ip_address, service, version, known_cves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Service version / CVE correlation</w:t>
            </w:r>
          </w:p>
        </w:tc>
        <w:tc>
          <w:tcPr>
            <w:tcW w:type="dxa" w:w="1000"/>
            <w:tcBorders>
              <w:top w:val="single" w:color="CCCCCC" w:sz="1"/>
              <w:left w:val="single" w:color="CCCCCC" w:sz="1"/>
              <w:bottom w:val="single" w:color="CCCCCC" w:sz="1"/>
              <w:right w:val="single" w:color="CCCCCC" w:sz="1"/>
            </w:tcBorders>
            <w:shd w:fill="E2EFDA" w:val="clear"/>
            <w:tcMar>
              <w:top w:type="dxa" w:w="40"/>
              <w:left w:type="dxa" w:w="80"/>
              <w:bottom w:type="dxa" w:w="40"/>
              <w:right w:type="dxa" w:w="80"/>
            </w:tcMar>
          </w:tcPr>
          <w:p>
            <w:pPr>
              <w:spacing w:line="216"/>
              <w:jc w:val="center"/>
            </w:pPr>
            <w:r>
              <w:rPr>
                <w:rFonts w:ascii="Arial" w:cs="Arial" w:eastAsia="Arial" w:hAnsi="Arial"/>
                <w:b/>
                <w:bCs/>
                <w:color w:val="548235"/>
                <w:sz w:val="14"/>
                <w:szCs w:val="14"/>
              </w:rPr>
              <w:t xml:space="preserve">ACTIVE</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808080"/>
                <w:sz w:val="14"/>
                <w:szCs w:val="14"/>
              </w:rPr>
              <w:t xml:space="preserve">-</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Credential Access</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KeychainDumpProbe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T1555.001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keychain_path, accessor_pid, items_accessed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Keychain access by unauthorized process</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CredentialFileAccessProbe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T1552.001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file_path, accessor_pid, file_type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Access to credential files (.pem, .key, tokens)</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Memory Threats</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MemoryInjectionProbe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T1055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target_pid, injection_type, payload_hash</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In-memory code injection detection</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FilelessMalwareProbe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T1620</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process_name, memory_region, anomaly_score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Fileless execution in memory</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Clipboard / Screen</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ClipboardExfilProbe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T1115</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accessor_pid, content_type, content_size</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Clipboard access by suspicious process</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ScreenCaptureProbe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T1113</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capturer_pid, capture_method, frequency</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Screen capture / recording detection</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macOS Security Framework</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TCCBypassProbe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T1562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tcc_service, accessor_pid, bypass_method</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TCC permission bypass detection</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GatekeeperBypassProbe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T1553.001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binary_path, bypass_method, quarantine_status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Gatekeeper bypass detection</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Container / VM Escape</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ContainerEscapeProbe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T1611</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container_id, escape_vector, host_access</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Container breakout detection</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r>
        <w:tc>
          <w:tcPr>
            <w:tcW w:type="dxa" w:w="1600"/>
            <w:tcBorders>
              <w:top w:val="single" w:color="CCCCCC" w:sz="1"/>
              <w:left w:val="single" w:color="CCCCCC" w:sz="1"/>
              <w:bottom w:val="single" w:color="CCCCCC" w:sz="1"/>
              <w:right w:val="single" w:color="CCCCCC" w:sz="1"/>
            </w:tcBorders>
            <w:shd w:fill="EDF2FA" w:val="clear"/>
            <w:tcMar>
              <w:top w:type="dxa" w:w="40"/>
              <w:left w:type="dxa" w:w="80"/>
              <w:bottom w:type="dxa" w:w="40"/>
              <w:right w:type="dxa" w:w="80"/>
            </w:tcMar>
          </w:tcPr>
          <w:p>
            <w:pPr>
              <w:spacing w:line="216"/>
              <w:jc w:val="left"/>
            </w:pPr>
            <w:r>
              <w:rPr>
                <w:rFonts w:ascii="Arial" w:cs="Arial" w:eastAsia="Arial" w:hAnsi="Arial"/>
                <w:b/>
                <w:bCs/>
                <w:color w:val="000000"/>
                <w:sz w:val="14"/>
                <w:szCs w:val="14"/>
              </w:rPr>
              <w:t xml:space="preserve">Supply Chain</w:t>
            </w:r>
          </w:p>
        </w:tc>
        <w:tc>
          <w:tcPr>
            <w:tcW w:type="dxa" w:w="11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C00000"/>
                <w:sz w:val="14"/>
                <w:szCs w:val="14"/>
              </w:rPr>
              <w:t xml:space="preserve">-</w:t>
            </w:r>
          </w:p>
        </w:tc>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4"/>
                <w:szCs w:val="14"/>
              </w:rPr>
              <w:t xml:space="preserve">PackageIntegrityProbe</w:t>
            </w:r>
          </w:p>
        </w:tc>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2E5090"/>
                <w:sz w:val="14"/>
                <w:szCs w:val="14"/>
              </w:rPr>
              <w:t xml:space="preserve">T1195.002</w:t>
            </w:r>
          </w:p>
        </w:tc>
        <w:tc>
          <w:tcPr>
            <w:tcW w:type="dxa" w:w="2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package_name, expected_hash, actual_hash</w:t>
            </w:r>
          </w:p>
        </w:tc>
        <w:tc>
          <w:tcPr>
            <w:tcW w:type="dxa" w:w="318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3"/>
                <w:szCs w:val="13"/>
              </w:rPr>
              <w:t xml:space="preserve">Package manager integrity verification</w:t>
            </w:r>
          </w:p>
        </w:tc>
        <w:tc>
          <w:tcPr>
            <w:tcW w:type="dxa" w:w="1000"/>
            <w:tcBorders>
              <w:top w:val="single" w:color="CCCCCC" w:sz="1"/>
              <w:left w:val="single" w:color="CCCCCC" w:sz="1"/>
              <w:bottom w:val="single" w:color="CCCCCC" w:sz="1"/>
              <w:right w:val="single" w:color="CCCCCC" w:sz="1"/>
            </w:tcBorders>
            <w:shd w:fill="FCE4EC" w:val="clear"/>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GAP</w:t>
            </w:r>
          </w:p>
        </w:tc>
        <w:tc>
          <w:tcPr>
            <w:tcW w:type="dxa" w:w="1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bCs/>
                <w:color w:val="C00000"/>
                <w:sz w:val="14"/>
                <w:szCs w:val="14"/>
              </w:rPr>
              <w:t xml:space="preserve">P1</w:t>
            </w:r>
          </w:p>
        </w:tc>
      </w:tr>
    </w:tbl>
    <w:p>
      <w:r>
        <w:br w:type="page"/>
      </w:r>
    </w:p>
    <w:p>
      <w:pPr>
        <w:pStyle w:val="Heading1"/>
      </w:pPr>
      <w:r>
        <w:t xml:space="preserve">5. Identified Gaps &amp; Blind Spots</w:t>
      </w:r>
    </w:p>
    <w:p>
      <w:pPr>
        <w:spacing w:after="200"/>
      </w:pPr>
      <w:r>
        <w:rPr>
          <w:rFonts w:ascii="Arial" w:cs="Arial" w:eastAsia="Arial" w:hAnsi="Arial"/>
          <w:sz w:val="20"/>
          <w:szCs w:val="20"/>
        </w:rPr>
        <w:t xml:space="preserve">The following attack surfaces have been identified as gaps in the current observability coverage. These are prioritized for Phase 2 development after the core senses and nerves are proven hardened.</w:t>
      </w:r>
    </w:p>
    <w:p>
      <w:pPr>
        <w:pStyle w:val="ListParagraph"/>
        <w:numPr>
          <w:ilvl w:val="0"/>
          <w:numId w:val="2"/>
        </w:numPr>
        <w:spacing w:after="80"/>
      </w:pPr>
      <w:r>
        <w:rPr>
          <w:rFonts w:ascii="Arial" w:cs="Arial" w:eastAsia="Arial" w:hAnsi="Arial"/>
          <w:b/>
          <w:bCs/>
          <w:sz w:val="20"/>
          <w:szCs w:val="20"/>
        </w:rPr>
        <w:t xml:space="preserve">KeychainDumpProbe (T1555.001)</w:t>
      </w:r>
      <w:r>
        <w:rPr>
          <w:rFonts w:ascii="Arial" w:cs="Arial" w:eastAsia="Arial" w:hAnsi="Arial"/>
          <w:sz w:val="20"/>
          <w:szCs w:val="20"/>
        </w:rPr>
        <w:t xml:space="preserve"> — Keychain access by unauthorized process. Surface: Credential Access. Required attributes: keychain_path, accessor_pid, items_accessed</w:t>
      </w:r>
    </w:p>
    <w:p>
      <w:pPr>
        <w:pStyle w:val="ListParagraph"/>
        <w:numPr>
          <w:ilvl w:val="0"/>
          <w:numId w:val="2"/>
        </w:numPr>
        <w:spacing w:after="80"/>
      </w:pPr>
      <w:r>
        <w:rPr>
          <w:rFonts w:ascii="Arial" w:cs="Arial" w:eastAsia="Arial" w:hAnsi="Arial"/>
          <w:b/>
          <w:bCs/>
          <w:sz w:val="20"/>
          <w:szCs w:val="20"/>
        </w:rPr>
        <w:t xml:space="preserve">CredentialFileAccessProbe (T1552.001)</w:t>
      </w:r>
      <w:r>
        <w:rPr>
          <w:rFonts w:ascii="Arial" w:cs="Arial" w:eastAsia="Arial" w:hAnsi="Arial"/>
          <w:sz w:val="20"/>
          <w:szCs w:val="20"/>
        </w:rPr>
        <w:t xml:space="preserve"> — Access to credential files (.pem, .key, tokens). Surface: Credential Access. Required attributes: file_path, accessor_pid, file_type</w:t>
      </w:r>
    </w:p>
    <w:p>
      <w:pPr>
        <w:pStyle w:val="ListParagraph"/>
        <w:numPr>
          <w:ilvl w:val="0"/>
          <w:numId w:val="2"/>
        </w:numPr>
        <w:spacing w:after="80"/>
      </w:pPr>
      <w:r>
        <w:rPr>
          <w:rFonts w:ascii="Arial" w:cs="Arial" w:eastAsia="Arial" w:hAnsi="Arial"/>
          <w:b/>
          <w:bCs/>
          <w:sz w:val="20"/>
          <w:szCs w:val="20"/>
        </w:rPr>
        <w:t xml:space="preserve">MemoryInjectionProbe (T1055)</w:t>
      </w:r>
      <w:r>
        <w:rPr>
          <w:rFonts w:ascii="Arial" w:cs="Arial" w:eastAsia="Arial" w:hAnsi="Arial"/>
          <w:sz w:val="20"/>
          <w:szCs w:val="20"/>
        </w:rPr>
        <w:t xml:space="preserve"> — In-memory code injection detection. Surface: Memory Threats. Required attributes: target_pid, injection_type, payload_hash</w:t>
      </w:r>
    </w:p>
    <w:p>
      <w:pPr>
        <w:pStyle w:val="ListParagraph"/>
        <w:numPr>
          <w:ilvl w:val="0"/>
          <w:numId w:val="2"/>
        </w:numPr>
        <w:spacing w:after="80"/>
      </w:pPr>
      <w:r>
        <w:rPr>
          <w:rFonts w:ascii="Arial" w:cs="Arial" w:eastAsia="Arial" w:hAnsi="Arial"/>
          <w:b/>
          <w:bCs/>
          <w:sz w:val="20"/>
          <w:szCs w:val="20"/>
        </w:rPr>
        <w:t xml:space="preserve">FilelessMalwareProbe (T1620)</w:t>
      </w:r>
      <w:r>
        <w:rPr>
          <w:rFonts w:ascii="Arial" w:cs="Arial" w:eastAsia="Arial" w:hAnsi="Arial"/>
          <w:sz w:val="20"/>
          <w:szCs w:val="20"/>
        </w:rPr>
        <w:t xml:space="preserve"> — Fileless execution in memory. Surface: Memory Threats. Required attributes: process_name, memory_region, anomaly_score</w:t>
      </w:r>
    </w:p>
    <w:p>
      <w:pPr>
        <w:pStyle w:val="ListParagraph"/>
        <w:numPr>
          <w:ilvl w:val="0"/>
          <w:numId w:val="2"/>
        </w:numPr>
        <w:spacing w:after="80"/>
      </w:pPr>
      <w:r>
        <w:rPr>
          <w:rFonts w:ascii="Arial" w:cs="Arial" w:eastAsia="Arial" w:hAnsi="Arial"/>
          <w:b/>
          <w:bCs/>
          <w:sz w:val="20"/>
          <w:szCs w:val="20"/>
        </w:rPr>
        <w:t xml:space="preserve">ClipboardExfilProbe (T1115)</w:t>
      </w:r>
      <w:r>
        <w:rPr>
          <w:rFonts w:ascii="Arial" w:cs="Arial" w:eastAsia="Arial" w:hAnsi="Arial"/>
          <w:sz w:val="20"/>
          <w:szCs w:val="20"/>
        </w:rPr>
        <w:t xml:space="preserve"> — Clipboard access by suspicious process. Surface: Clipboard / Screen. Required attributes: accessor_pid, content_type, content_size</w:t>
      </w:r>
    </w:p>
    <w:p>
      <w:pPr>
        <w:pStyle w:val="ListParagraph"/>
        <w:numPr>
          <w:ilvl w:val="0"/>
          <w:numId w:val="2"/>
        </w:numPr>
        <w:spacing w:after="80"/>
      </w:pPr>
      <w:r>
        <w:rPr>
          <w:rFonts w:ascii="Arial" w:cs="Arial" w:eastAsia="Arial" w:hAnsi="Arial"/>
          <w:b/>
          <w:bCs/>
          <w:sz w:val="20"/>
          <w:szCs w:val="20"/>
        </w:rPr>
        <w:t xml:space="preserve">ScreenCaptureProbe (T1113)</w:t>
      </w:r>
      <w:r>
        <w:rPr>
          <w:rFonts w:ascii="Arial" w:cs="Arial" w:eastAsia="Arial" w:hAnsi="Arial"/>
          <w:sz w:val="20"/>
          <w:szCs w:val="20"/>
        </w:rPr>
        <w:t xml:space="preserve"> — Screen capture / recording detection. Surface: Clipboard / Screen. Required attributes: capturer_pid, capture_method, frequency</w:t>
      </w:r>
    </w:p>
    <w:p>
      <w:pPr>
        <w:pStyle w:val="ListParagraph"/>
        <w:numPr>
          <w:ilvl w:val="0"/>
          <w:numId w:val="2"/>
        </w:numPr>
        <w:spacing w:after="80"/>
      </w:pPr>
      <w:r>
        <w:rPr>
          <w:rFonts w:ascii="Arial" w:cs="Arial" w:eastAsia="Arial" w:hAnsi="Arial"/>
          <w:b/>
          <w:bCs/>
          <w:sz w:val="20"/>
          <w:szCs w:val="20"/>
        </w:rPr>
        <w:t xml:space="preserve">TCCBypassProbe (T1562)</w:t>
      </w:r>
      <w:r>
        <w:rPr>
          <w:rFonts w:ascii="Arial" w:cs="Arial" w:eastAsia="Arial" w:hAnsi="Arial"/>
          <w:sz w:val="20"/>
          <w:szCs w:val="20"/>
        </w:rPr>
        <w:t xml:space="preserve"> — TCC permission bypass detection. Surface: macOS Security Framework. Required attributes: tcc_service, accessor_pid, bypass_method</w:t>
      </w:r>
    </w:p>
    <w:p>
      <w:pPr>
        <w:pStyle w:val="ListParagraph"/>
        <w:numPr>
          <w:ilvl w:val="0"/>
          <w:numId w:val="2"/>
        </w:numPr>
        <w:spacing w:after="80"/>
      </w:pPr>
      <w:r>
        <w:rPr>
          <w:rFonts w:ascii="Arial" w:cs="Arial" w:eastAsia="Arial" w:hAnsi="Arial"/>
          <w:b/>
          <w:bCs/>
          <w:sz w:val="20"/>
          <w:szCs w:val="20"/>
        </w:rPr>
        <w:t xml:space="preserve">GatekeeperBypassProbe (T1553.001)</w:t>
      </w:r>
      <w:r>
        <w:rPr>
          <w:rFonts w:ascii="Arial" w:cs="Arial" w:eastAsia="Arial" w:hAnsi="Arial"/>
          <w:sz w:val="20"/>
          <w:szCs w:val="20"/>
        </w:rPr>
        <w:t xml:space="preserve"> — Gatekeeper bypass detection. Surface: macOS Security Framework. Required attributes: binary_path, bypass_method, quarantine_status</w:t>
      </w:r>
    </w:p>
    <w:p>
      <w:pPr>
        <w:pStyle w:val="ListParagraph"/>
        <w:numPr>
          <w:ilvl w:val="0"/>
          <w:numId w:val="2"/>
        </w:numPr>
        <w:spacing w:after="80"/>
      </w:pPr>
      <w:r>
        <w:rPr>
          <w:rFonts w:ascii="Arial" w:cs="Arial" w:eastAsia="Arial" w:hAnsi="Arial"/>
          <w:b/>
          <w:bCs/>
          <w:sz w:val="20"/>
          <w:szCs w:val="20"/>
        </w:rPr>
        <w:t xml:space="preserve">ContainerEscapeProbe (T1611)</w:t>
      </w:r>
      <w:r>
        <w:rPr>
          <w:rFonts w:ascii="Arial" w:cs="Arial" w:eastAsia="Arial" w:hAnsi="Arial"/>
          <w:sz w:val="20"/>
          <w:szCs w:val="20"/>
        </w:rPr>
        <w:t xml:space="preserve"> — Container breakout detection. Surface: Container / VM Escape. Required attributes: container_id, escape_vector, host_access</w:t>
      </w:r>
    </w:p>
    <w:p>
      <w:pPr>
        <w:pStyle w:val="ListParagraph"/>
        <w:numPr>
          <w:ilvl w:val="0"/>
          <w:numId w:val="2"/>
        </w:numPr>
        <w:spacing w:after="80"/>
      </w:pPr>
      <w:r>
        <w:rPr>
          <w:rFonts w:ascii="Arial" w:cs="Arial" w:eastAsia="Arial" w:hAnsi="Arial"/>
          <w:b/>
          <w:bCs/>
          <w:sz w:val="20"/>
          <w:szCs w:val="20"/>
        </w:rPr>
        <w:t xml:space="preserve">PackageIntegrityProbe (T1195.002)</w:t>
      </w:r>
      <w:r>
        <w:rPr>
          <w:rFonts w:ascii="Arial" w:cs="Arial" w:eastAsia="Arial" w:hAnsi="Arial"/>
          <w:sz w:val="20"/>
          <w:szCs w:val="20"/>
        </w:rPr>
        <w:t xml:space="preserve"> — Package manager integrity verification. Surface: Supply Chain. Required attributes: package_name, expected_hash, actual_hash</w:t>
      </w:r>
    </w:p>
    <w:p>
      <w:r>
        <w:br w:type="page"/>
      </w:r>
    </w:p>
    <w:p>
      <w:pPr>
        <w:pStyle w:val="Heading1"/>
      </w:pPr>
      <w:r>
        <w:t xml:space="preserve">6. Evidence Chain Requirements</w:t>
      </w:r>
    </w:p>
    <w:p>
      <w:pPr>
        <w:spacing w:after="120"/>
      </w:pPr>
      <w:r>
        <w:rPr>
          <w:rFonts w:ascii="Arial" w:cs="Arial" w:eastAsia="Arial" w:hAnsi="Arial"/>
          <w:sz w:val="20"/>
          <w:szCs w:val="20"/>
        </w:rPr>
        <w:t xml:space="preserve">Every probe detection must produce a complete, verifiable evidence chain. The following requirements apply to all ACTIVE probes in the ASCM:</w:t>
      </w:r>
    </w:p>
    <w:p>
      <w:pPr>
        <w:pStyle w:val="Heading2"/>
      </w:pPr>
      <w:r>
        <w:t xml:space="preserve">6.1 Telemetry Envelope</w:t>
      </w:r>
    </w:p>
    <w:p>
      <w:pPr>
        <w:pStyle w:val="ListParagraph"/>
        <w:numPr>
          <w:ilvl w:val="0"/>
          <w:numId w:val="2"/>
        </w:numPr>
        <w:spacing w:after="60"/>
      </w:pPr>
      <w:r>
        <w:rPr>
          <w:rFonts w:ascii="Arial" w:cs="Arial" w:eastAsia="Arial" w:hAnsi="Arial"/>
          <w:sz w:val="19"/>
          <w:szCs w:val="19"/>
        </w:rPr>
        <w:t xml:space="preserve">agent_id, device_id, probe_id — Unique identification triple</w:t>
      </w:r>
    </w:p>
    <w:p>
      <w:pPr>
        <w:pStyle w:val="ListParagraph"/>
        <w:numPr>
          <w:ilvl w:val="0"/>
          <w:numId w:val="2"/>
        </w:numPr>
        <w:spacing w:after="60"/>
      </w:pPr>
      <w:r>
        <w:rPr>
          <w:rFonts w:ascii="Arial" w:cs="Arial" w:eastAsia="Arial" w:hAnsi="Arial"/>
          <w:sz w:val="19"/>
          <w:szCs w:val="19"/>
        </w:rPr>
        <w:t xml:space="preserve">timestamp_ns — Nanosecond-precision collection timestamp</w:t>
      </w:r>
    </w:p>
    <w:p>
      <w:pPr>
        <w:pStyle w:val="ListParagraph"/>
        <w:numPr>
          <w:ilvl w:val="0"/>
          <w:numId w:val="2"/>
        </w:numPr>
        <w:spacing w:after="60"/>
      </w:pPr>
      <w:r>
        <w:rPr>
          <w:rFonts w:ascii="Arial" w:cs="Arial" w:eastAsia="Arial" w:hAnsi="Arial"/>
          <w:sz w:val="19"/>
          <w:szCs w:val="19"/>
        </w:rPr>
        <w:t xml:space="preserve">event_type — Classification from probe detection logic</w:t>
      </w:r>
    </w:p>
    <w:p>
      <w:pPr>
        <w:pStyle w:val="ListParagraph"/>
        <w:numPr>
          <w:ilvl w:val="0"/>
          <w:numId w:val="2"/>
        </w:numPr>
        <w:spacing w:after="60"/>
      </w:pPr>
      <w:r>
        <w:rPr>
          <w:rFonts w:ascii="Arial" w:cs="Arial" w:eastAsia="Arial" w:hAnsi="Arial"/>
          <w:sz w:val="19"/>
          <w:szCs w:val="19"/>
        </w:rPr>
        <w:t xml:space="preserve">severity — CRITICAL / HIGH / MEDIUM / LOW / INFO</w:t>
      </w:r>
    </w:p>
    <w:p>
      <w:pPr>
        <w:pStyle w:val="ListParagraph"/>
        <w:numPr>
          <w:ilvl w:val="0"/>
          <w:numId w:val="2"/>
        </w:numPr>
        <w:spacing w:after="60"/>
      </w:pPr>
      <w:r>
        <w:rPr>
          <w:rFonts w:ascii="Arial" w:cs="Arial" w:eastAsia="Arial" w:hAnsi="Arial"/>
          <w:sz w:val="19"/>
          <w:szCs w:val="19"/>
        </w:rPr>
        <w:t xml:space="preserve">attributes — Probe-specific key-value pairs (see ASCM matrix)</w:t>
      </w:r>
    </w:p>
    <w:p>
      <w:pPr>
        <w:pStyle w:val="ListParagraph"/>
        <w:numPr>
          <w:ilvl w:val="0"/>
          <w:numId w:val="2"/>
        </w:numPr>
        <w:spacing w:after="60"/>
      </w:pPr>
      <w:r>
        <w:rPr>
          <w:rFonts w:ascii="Arial" w:cs="Arial" w:eastAsia="Arial" w:hAnsi="Arial"/>
          <w:sz w:val="19"/>
          <w:szCs w:val="19"/>
        </w:rPr>
        <w:t xml:space="preserve">sha256_hash — Content-addressable hash of the envelope payload</w:t>
      </w:r>
    </w:p>
    <w:p>
      <w:pPr>
        <w:pStyle w:val="ListParagraph"/>
        <w:numPr>
          <w:ilvl w:val="0"/>
          <w:numId w:val="2"/>
        </w:numPr>
        <w:spacing w:after="60"/>
      </w:pPr>
      <w:r>
        <w:rPr>
          <w:rFonts w:ascii="Arial" w:cs="Arial" w:eastAsia="Arial" w:hAnsi="Arial"/>
          <w:sz w:val="19"/>
          <w:szCs w:val="19"/>
        </w:rPr>
        <w:t xml:space="preserve">ed25519_signature — Cryptographic signature by the collecting agent</w:t>
      </w:r>
    </w:p>
    <w:p>
      <w:pPr>
        <w:pStyle w:val="ListParagraph"/>
        <w:numPr>
          <w:ilvl w:val="0"/>
          <w:numId w:val="2"/>
        </w:numPr>
        <w:spacing w:after="60"/>
      </w:pPr>
      <w:r>
        <w:rPr>
          <w:rFonts w:ascii="Arial" w:cs="Arial" w:eastAsia="Arial" w:hAnsi="Arial"/>
          <w:sz w:val="19"/>
          <w:szCs w:val="19"/>
        </w:rPr>
        <w:t xml:space="preserve">sequence_number — Monotonically increasing per agent for ordering</w:t>
      </w:r>
    </w:p>
    <w:p>
      <w:pPr>
        <w:pStyle w:val="Heading2"/>
      </w:pPr>
      <w:r>
        <w:t xml:space="preserve">6.2 Pipeline Provenance</w:t>
      </w:r>
    </w:p>
    <w:p>
      <w:pPr>
        <w:pStyle w:val="ListParagraph"/>
        <w:numPr>
          <w:ilvl w:val="0"/>
          <w:numId w:val="2"/>
        </w:numPr>
        <w:spacing w:after="60"/>
      </w:pPr>
      <w:r>
        <w:rPr>
          <w:rFonts w:ascii="Arial" w:cs="Arial" w:eastAsia="Arial" w:hAnsi="Arial"/>
          <w:sz w:val="19"/>
          <w:szCs w:val="19"/>
        </w:rPr>
        <w:t xml:space="preserve">LocalQueue entry — SQLite WAL row with enqueue timestamp</w:t>
      </w:r>
    </w:p>
    <w:p>
      <w:pPr>
        <w:pStyle w:val="ListParagraph"/>
        <w:numPr>
          <w:ilvl w:val="0"/>
          <w:numId w:val="2"/>
        </w:numPr>
        <w:spacing w:after="60"/>
      </w:pPr>
      <w:r>
        <w:rPr>
          <w:rFonts w:ascii="Arial" w:cs="Arial" w:eastAsia="Arial" w:hAnsi="Arial"/>
          <w:sz w:val="19"/>
          <w:szCs w:val="19"/>
        </w:rPr>
        <w:t xml:space="preserve">gRPC PublishTelemetry — EventBus receipt with dedup check</w:t>
      </w:r>
    </w:p>
    <w:p>
      <w:pPr>
        <w:pStyle w:val="ListParagraph"/>
        <w:numPr>
          <w:ilvl w:val="0"/>
          <w:numId w:val="2"/>
        </w:numPr>
        <w:spacing w:after="60"/>
      </w:pPr>
      <w:r>
        <w:rPr>
          <w:rFonts w:ascii="Arial" w:cs="Arial" w:eastAsia="Arial" w:hAnsi="Arial"/>
          <w:sz w:val="19"/>
          <w:szCs w:val="19"/>
        </w:rPr>
        <w:t xml:space="preserve">EventBus WAL — BLAKE2b checksum on write, corruption detection on read</w:t>
      </w:r>
    </w:p>
    <w:p>
      <w:pPr>
        <w:pStyle w:val="ListParagraph"/>
        <w:numPr>
          <w:ilvl w:val="0"/>
          <w:numId w:val="2"/>
        </w:numPr>
        <w:spacing w:after="60"/>
      </w:pPr>
      <w:r>
        <w:rPr>
          <w:rFonts w:ascii="Arial" w:cs="Arial" w:eastAsia="Arial" w:hAnsi="Arial"/>
          <w:sz w:val="19"/>
          <w:szCs w:val="19"/>
        </w:rPr>
        <w:t xml:space="preserve">TelemetryStore — Final storage with query-time integrity verification</w:t>
      </w:r>
    </w:p>
    <w:p>
      <w:pPr>
        <w:pStyle w:val="Heading2"/>
      </w:pPr>
      <w:r>
        <w:t xml:space="preserve">6.3 Delivery Guarantee</w:t>
      </w:r>
    </w:p>
    <w:p>
      <w:pPr>
        <w:spacing w:after="200"/>
      </w:pPr>
      <w:r>
        <w:rPr>
          <w:rFonts w:ascii="Arial" w:cs="Arial" w:eastAsia="Arial" w:hAnsi="Arial"/>
          <w:sz w:val="20"/>
          <w:szCs w:val="20"/>
        </w:rPr>
        <w:t xml:space="preserve">Target: AT-LEAST-ONCE delivery with idempotency at the storage layer. Current known issue: WALProcessor silently swallows errors during replay, potentially causing data loss. This is flagged as a P0 fix in Component 4 (Storage + WAL) audit.</w:t>
      </w:r>
    </w:p>
    <w:p>
      <w:r>
        <w:br w:type="page"/>
      </w:r>
    </w:p>
    <w:p>
      <w:pPr>
        <w:pStyle w:val="Heading1"/>
      </w:pPr>
      <w:r>
        <w:t xml:space="preserve">7. ASCM Exit Criteria</w:t>
      </w:r>
    </w:p>
    <w:p>
      <w:pPr>
        <w:spacing w:after="120"/>
      </w:pPr>
      <w:r>
        <w:rPr>
          <w:rFonts w:ascii="Arial" w:cs="Arial" w:eastAsia="Arial" w:hAnsi="Arial"/>
          <w:sz w:val="20"/>
          <w:szCs w:val="20"/>
        </w:rPr>
        <w:t xml:space="preserve">The ASCM is considered COMPLETE when all of the following criteria are met:</w:t>
      </w:r>
    </w:p>
    <w:p>
      <w:pPr>
        <w:pStyle w:val="ListParagraph"/>
        <w:numPr>
          <w:ilvl w:val="0"/>
          <w:numId w:val="3"/>
        </w:numPr>
        <w:spacing w:after="80"/>
      </w:pPr>
      <w:r>
        <w:rPr>
          <w:rFonts w:ascii="Arial" w:cs="Arial" w:eastAsia="Arial" w:hAnsi="Arial"/>
          <w:sz w:val="20"/>
          <w:szCs w:val="20"/>
        </w:rPr>
        <w:t xml:space="preserve">Every ACTIVE probe has a passing unit test that feeds known-bad data and verifies detection</w:t>
      </w:r>
    </w:p>
    <w:p>
      <w:pPr>
        <w:pStyle w:val="ListParagraph"/>
        <w:numPr>
          <w:ilvl w:val="0"/>
          <w:numId w:val="3"/>
        </w:numPr>
        <w:spacing w:after="80"/>
      </w:pPr>
      <w:r>
        <w:rPr>
          <w:rFonts w:ascii="Arial" w:cs="Arial" w:eastAsia="Arial" w:hAnsi="Arial"/>
          <w:sz w:val="20"/>
          <w:szCs w:val="20"/>
        </w:rPr>
        <w:t xml:space="preserve">Every ACTIVE probe has a passing contract test (returns REAL/DEGRADED/BROKEN/DISABLED correctly)</w:t>
      </w:r>
    </w:p>
    <w:p>
      <w:pPr>
        <w:pStyle w:val="ListParagraph"/>
        <w:numPr>
          <w:ilvl w:val="0"/>
          <w:numId w:val="3"/>
        </w:numPr>
        <w:spacing w:after="80"/>
      </w:pPr>
      <w:r>
        <w:rPr>
          <w:rFonts w:ascii="Arial" w:cs="Arial" w:eastAsia="Arial" w:hAnsi="Arial"/>
          <w:sz w:val="20"/>
          <w:szCs w:val="20"/>
        </w:rPr>
        <w:t xml:space="preserve">Every probe produces output conforming to the Telemetry Envelope schema (Section 6.1)</w:t>
      </w:r>
    </w:p>
    <w:p>
      <w:pPr>
        <w:pStyle w:val="ListParagraph"/>
        <w:numPr>
          <w:ilvl w:val="0"/>
          <w:numId w:val="3"/>
        </w:numPr>
        <w:spacing w:after="80"/>
      </w:pPr>
      <w:r>
        <w:rPr>
          <w:rFonts w:ascii="Arial" w:cs="Arial" w:eastAsia="Arial" w:hAnsi="Arial"/>
          <w:sz w:val="20"/>
          <w:szCs w:val="20"/>
        </w:rPr>
        <w:t xml:space="preserve">The complete pipeline evidence chain (Section 6.2) is verified by integration tests</w:t>
      </w:r>
    </w:p>
    <w:p>
      <w:pPr>
        <w:pStyle w:val="ListParagraph"/>
        <w:numPr>
          <w:ilvl w:val="0"/>
          <w:numId w:val="3"/>
        </w:numPr>
        <w:spacing w:after="80"/>
      </w:pPr>
      <w:r>
        <w:rPr>
          <w:rFonts w:ascii="Arial" w:cs="Arial" w:eastAsia="Arial" w:hAnsi="Arial"/>
          <w:sz w:val="20"/>
          <w:szCs w:val="20"/>
        </w:rPr>
        <w:t xml:space="preserve">AT-LEAST-ONCE delivery is proven with crash-recovery tests</w:t>
      </w:r>
    </w:p>
    <w:p>
      <w:pPr>
        <w:pStyle w:val="ListParagraph"/>
        <w:numPr>
          <w:ilvl w:val="0"/>
          <w:numId w:val="3"/>
        </w:numPr>
        <w:spacing w:after="80"/>
      </w:pPr>
      <w:r>
        <w:rPr>
          <w:rFonts w:ascii="Arial" w:cs="Arial" w:eastAsia="Arial" w:hAnsi="Arial"/>
          <w:sz w:val="20"/>
          <w:szCs w:val="20"/>
        </w:rPr>
        <w:t xml:space="preserve">No probe can be silently disabled without triggering an Agent Observability Contract (AOC) alert</w:t>
      </w:r>
    </w:p>
    <w:p>
      <w:pPr>
        <w:pStyle w:val="ListParagraph"/>
        <w:numPr>
          <w:ilvl w:val="0"/>
          <w:numId w:val="3"/>
        </w:numPr>
        <w:spacing w:after="80"/>
      </w:pPr>
      <w:r>
        <w:rPr>
          <w:rFonts w:ascii="Arial" w:cs="Arial" w:eastAsia="Arial" w:hAnsi="Arial"/>
          <w:sz w:val="20"/>
          <w:szCs w:val="20"/>
        </w:rPr>
        <w:t xml:space="preserve">All GAP entries have been evaluated and either promoted to PLANNED with timeline or explicitly deferred with rationale</w:t>
      </w:r>
    </w:p>
    <w:p>
      <w:pPr>
        <w:pStyle w:val="ListParagraph"/>
        <w:numPr>
          <w:ilvl w:val="0"/>
          <w:numId w:val="3"/>
        </w:numPr>
        <w:spacing w:after="80"/>
      </w:pPr>
      <w:r>
        <w:rPr>
          <w:rFonts w:ascii="Arial" w:cs="Arial" w:eastAsia="Arial" w:hAnsi="Arial"/>
          <w:sz w:val="20"/>
          <w:szCs w:val="20"/>
        </w:rPr>
        <w:t xml:space="preserve">Challenge the Attacker test suite passes: blindness attempts, flood attempts, and tamper attempts all detected</w:t>
      </w:r>
    </w:p>
    <w:p>
      <w:r>
        <w:br w:type="page"/>
      </w:r>
    </w:p>
    <w:p>
      <w:pPr>
        <w:pStyle w:val="Heading1"/>
      </w:pPr>
      <w:r>
        <w:t xml:space="preserve">8. Revision History</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000"/>
        <w:gridCol w:w="5000"/>
      </w:tblGrid>
      <w:tr>
        <w:tc>
          <w:tcPr>
            <w:tcW w:type="dxa" w:w="18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Version</w:t>
            </w:r>
          </w:p>
        </w:tc>
        <w:tc>
          <w:tcPr>
            <w:tcW w:type="dxa" w:w="14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Date</w:t>
            </w:r>
          </w:p>
        </w:tc>
        <w:tc>
          <w:tcPr>
            <w:tcW w:type="dxa" w:w="30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Author</w:t>
            </w:r>
          </w:p>
        </w:tc>
        <w:tc>
          <w:tcPr>
            <w:tcW w:type="dxa" w:w="5000"/>
            <w:tcBorders>
              <w:top w:val="single" w:color="1B2A4A" w:sz="2"/>
              <w:left w:val="single" w:color="1B2A4A" w:sz="2"/>
              <w:bottom w:val="single" w:color="1B2A4A" w:sz="2"/>
              <w:right w:val="single" w:color="1B2A4A" w:sz="2"/>
            </w:tcBorders>
            <w:shd w:fill="1B2A4A" w:val="clear"/>
            <w:tcMar>
              <w:top w:type="dxa" w:w="60"/>
              <w:left w:type="dxa" w:w="80"/>
              <w:bottom w:type="dxa" w:w="60"/>
              <w:right w:type="dxa" w:w="80"/>
            </w:tcMar>
            <w:vAlign w:val="center"/>
          </w:tcPr>
          <w:p>
            <w:pPr>
              <w:jc w:val="center"/>
            </w:pPr>
            <w:r>
              <w:rPr>
                <w:rFonts w:ascii="Arial" w:cs="Arial" w:eastAsia="Arial" w:hAnsi="Arial"/>
                <w:b/>
                <w:bCs/>
                <w:color w:val="FFFFFF"/>
                <w:sz w:val="16"/>
                <w:szCs w:val="16"/>
              </w:rPr>
              <w:t xml:space="preserve">Changes</w:t>
            </w:r>
          </w:p>
        </w:tc>
      </w:tr>
      <w:tr>
        <w:tc>
          <w:tcPr>
            <w:tcW w:type="dxa" w:w="18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5"/>
                <w:szCs w:val="15"/>
              </w:rPr>
              <w:t xml:space="preserve">1.0</w:t>
            </w:r>
          </w:p>
        </w:tc>
        <w:tc>
          <w:tcPr>
            <w:tcW w:type="dxa" w:w="14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center"/>
            </w:pPr>
            <w:r>
              <w:rPr>
                <w:rFonts w:ascii="Arial" w:cs="Arial" w:eastAsia="Arial" w:hAnsi="Arial"/>
                <w:b w:val="false"/>
                <w:bCs w:val="false"/>
                <w:color w:val="000000"/>
                <w:sz w:val="15"/>
                <w:szCs w:val="15"/>
              </w:rPr>
              <w:t xml:space="preserve">2026-02-21</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5"/>
                <w:szCs w:val="15"/>
              </w:rPr>
              <w:t xml:space="preserve">AMOSKYS Architecture Team</w:t>
            </w:r>
          </w:p>
        </w:tc>
        <w:tc>
          <w:tcPr>
            <w:tcW w:type="dxa" w:w="5000"/>
            <w:tcBorders>
              <w:top w:val="single" w:color="CCCCCC" w:sz="1"/>
              <w:left w:val="single" w:color="CCCCCC" w:sz="1"/>
              <w:bottom w:val="single" w:color="CCCCCC" w:sz="1"/>
              <w:right w:val="single" w:color="CCCCCC" w:sz="1"/>
            </w:tcBorders>
            <w:tcMar>
              <w:top w:type="dxa" w:w="40"/>
              <w:left w:type="dxa" w:w="80"/>
              <w:bottom w:type="dxa" w:w="40"/>
              <w:right w:type="dxa" w:w="80"/>
            </w:tcMar>
          </w:tcPr>
          <w:p>
            <w:pPr>
              <w:spacing w:line="216"/>
              <w:jc w:val="left"/>
            </w:pPr>
            <w:r>
              <w:rPr>
                <w:rFonts w:ascii="Arial" w:cs="Arial" w:eastAsia="Arial" w:hAnsi="Arial"/>
                <w:b w:val="false"/>
                <w:bCs w:val="false"/>
                <w:color w:val="000000"/>
                <w:sz w:val="15"/>
                <w:szCs w:val="15"/>
              </w:rPr>
              <w:t xml:space="preserve">Initial ASCM skeleton with 75 active probes, 10 identified gaps, MITRE ATT&amp;CK coverage mapping, evidence chain requirements, and exit criteria</w:t>
            </w:r>
          </w:p>
        </w:tc>
      </w:tr>
    </w:tbl>
    <w:sectPr>
      <w:headerReference w:type="default" r:id="rId6"/>
      <w:footerReference w:type="default" r:id="rId7"/>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CONFIDENTIAL  |  Page </w:t>
    </w:r>
    <w:r>
      <w:rPr>
        <w:rFonts w:ascii="Arial" w:cs="Arial" w:eastAsia="Arial" w:hAnsi="Arial"/>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9026"/>
      </w:tabs>
    </w:pPr>
    <w:r>
      <w:rPr>
        <w:rFonts w:ascii="Arial" w:cs="Arial" w:eastAsia="Arial" w:hAnsi="Arial"/>
        <w:b/>
        <w:bCs/>
        <w:color w:val="1B2A4A"/>
        <w:sz w:val="16"/>
        <w:szCs w:val="16"/>
      </w:rPr>
      <w:t xml:space="preserve">AMOSKYS ASCM v1.0</w:t>
    </w:r>
    <w:r>
      <w:rPr>
        <w:rFonts w:ascii="Arial" w:cs="Arial" w:eastAsia="Arial" w:hAnsi="Arial"/>
        <w:color w:val="808080"/>
        <w:sz w:val="16"/>
        <w:szCs w:val="16"/>
      </w:rPr>
      <w:t xml:space="preserve">	Endpoint Attack Surface Coverage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2026-02-21T06:09:57.016Z</dcterms:created>
  <dcterms:modified xsi:type="dcterms:W3CDTF">2026-02-21T06:09:57.017Z</dcterms:modified>
</cp:coreProperties>
</file>

<file path=docProps/custom.xml><?xml version="1.0" encoding="utf-8"?>
<Properties xmlns="http://schemas.openxmlformats.org/officeDocument/2006/custom-properties" xmlns:vt="http://schemas.openxmlformats.org/officeDocument/2006/docPropsVTypes"/>
</file>