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top w:val="single" w:color="E8913A" w:sz="8" w:space="8"/>
        </w:pBdr>
        <w:spacing w:after="400"/>
        <w:jc w:val="center"/>
      </w:pPr>
    </w:p>
    <w:p>
      <w:pPr>
        <w:spacing w:after="120"/>
        <w:jc w:val="center"/>
      </w:pPr>
      <w:r>
        <w:rPr>
          <w:rFonts w:ascii="Arial" w:cs="Arial" w:eastAsia="Arial" w:hAnsi="Arial"/>
          <w:b/>
          <w:bCs/>
          <w:color w:val="1B2A4A"/>
          <w:sz w:val="56"/>
          <w:szCs w:val="56"/>
        </w:rPr>
        <w:t xml:space="preserve">AMOSKYS</w:t>
      </w:r>
    </w:p>
    <w:p>
      <w:pPr>
        <w:spacing w:after="200"/>
        <w:jc w:val="center"/>
      </w:pPr>
      <w:r>
        <w:rPr>
          <w:rFonts w:ascii="Arial" w:cs="Arial" w:eastAsia="Arial" w:hAnsi="Arial"/>
          <w:i/>
          <w:iCs/>
          <w:color w:val="5A6B7F"/>
          <w:sz w:val="24"/>
          <w:szCs w:val="24"/>
        </w:rPr>
        <w:t xml:space="preserve">Autonomous Monitoring &amp; Observability Security Kernel for Your System</w:t>
      </w:r>
    </w:p>
    <w:p>
      <w:pPr>
        <w:pBdr>
          <w:bottom w:val="single" w:color="B8C9DD" w:sz="2" w:space="8"/>
        </w:pBdr>
        <w:spacing w:after="400"/>
        <w:jc w:val="center"/>
      </w:pPr>
    </w:p>
    <w:p>
      <w:pPr>
        <w:spacing w:after="80"/>
        <w:jc w:val="center"/>
      </w:pPr>
      <w:r>
        <w:rPr>
          <w:rFonts w:ascii="Arial" w:cs="Arial" w:eastAsia="Arial" w:hAnsi="Arial"/>
          <w:b/>
          <w:bCs/>
          <w:color w:val="2E4A7A"/>
          <w:sz w:val="36"/>
          <w:szCs w:val="36"/>
        </w:rPr>
        <w:t xml:space="preserve">Engine Architecture &amp; Technical Reference</w:t>
      </w:r>
    </w:p>
    <w:p>
      <w:pPr>
        <w:spacing w:after="60"/>
        <w:jc w:val="center"/>
      </w:pPr>
      <w:r>
        <w:rPr>
          <w:rFonts w:ascii="Arial" w:cs="Arial" w:eastAsia="Arial" w:hAnsi="Arial"/>
          <w:color w:val="5A6B7F"/>
          <w:sz w:val="22"/>
          <w:szCs w:val="22"/>
        </w:rPr>
        <w:t xml:space="preserve">Version 0.9.0-beta.1</w:t>
      </w:r>
    </w:p>
    <w:p>
      <w:pPr>
        <w:spacing w:after="400"/>
        <w:jc w:val="center"/>
      </w:pPr>
      <w:r>
        <w:rPr>
          <w:rFonts w:ascii="Arial" w:cs="Arial" w:eastAsia="Arial" w:hAnsi="Arial"/>
          <w:color w:val="3A6EA5"/>
          <w:sz w:val="20"/>
          <w:szCs w:val="20"/>
        </w:rPr>
        <w:t xml:space="preserve">~38,000 Lines of Code  ·  27 Agents  ·  205 Probes  ·  8 Architectural Layers</w:t>
      </w:r>
    </w:p>
    <w:p>
      <w:pPr>
        <w:spacing w:before="600"/>
      </w:pPr>
    </w:p>
    <w:p>
      <w:pPr>
        <w:pBdr>
          <w:top w:val="single" w:color="B8C9DD" w:sz="2" w:space="8"/>
        </w:pBdr>
        <w:spacing w:after="200"/>
        <w:jc w:val="center"/>
      </w:pPr>
    </w:p>
    <w:p>
      <w:pPr>
        <w:spacing w:after="60"/>
        <w:jc w:val="center"/>
      </w:pPr>
      <w:r>
        <w:rPr>
          <w:rFonts w:ascii="Arial" w:cs="Arial" w:eastAsia="Arial" w:hAnsi="Arial"/>
          <w:b/>
          <w:bCs/>
          <w:color w:val="1B2A4A"/>
          <w:sz w:val="24"/>
          <w:szCs w:val="24"/>
        </w:rPr>
        <w:t xml:space="preserve">Akash Thanneeru</w:t>
      </w:r>
    </w:p>
    <w:p>
      <w:pPr>
        <w:spacing w:after="60"/>
        <w:jc w:val="center"/>
      </w:pPr>
      <w:r>
        <w:rPr>
          <w:rFonts w:ascii="Arial" w:cs="Arial" w:eastAsia="Arial" w:hAnsi="Arial"/>
          <w:color w:val="5A6B7F"/>
          <w:sz w:val="20"/>
          <w:szCs w:val="20"/>
        </w:rPr>
        <w:t xml:space="preserve">Founder &amp; Principal Engineer, AMOSKYS</w:t>
      </w:r>
    </w:p>
    <w:p>
      <w:pPr>
        <w:spacing w:after="200"/>
        <w:jc w:val="center"/>
      </w:pPr>
      <w:r>
        <w:rPr>
          <w:rFonts w:ascii="Arial" w:cs="Arial" w:eastAsia="Arial" w:hAnsi="Arial"/>
          <w:color w:val="5A6B7F"/>
          <w:sz w:val="20"/>
          <w:szCs w:val="20"/>
        </w:rPr>
        <w:t xml:space="preserve">March 2026</w:t>
      </w:r>
    </w:p>
    <w:p>
      <w:pPr>
        <w:pBdr>
          <w:bottom w:val="single" w:color="E8913A" w:sz="8" w:space="8"/>
        </w:pBdr>
        <w:jc w:val="center"/>
      </w:pPr>
    </w:p>
    <w:p>
      <w:pPr>
        <w:spacing w:before="400"/>
      </w:pPr>
    </w:p>
    <w:p>
      <w:pPr>
        <w:spacing w:after="60"/>
        <w:jc w:val="center"/>
      </w:pPr>
      <w:r>
        <w:rPr>
          <w:rFonts w:ascii="Arial" w:cs="Arial" w:eastAsia="Arial" w:hAnsi="Arial"/>
          <w:i/>
          <w:iCs/>
          <w:color w:val="3A6EA5"/>
          <w:sz w:val="22"/>
          <w:szCs w:val="22"/>
        </w:rPr>
        <w:t xml:space="preserve">“To Securing the Cyberspace”</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rPr>
        <w:t xml:space="preserve">Abstract</w:t>
      </w:r>
    </w:p>
    <w:p>
      <w:pPr>
        <w:spacing w:after="160" w:line="276"/>
        <w:jc w:val="both"/>
      </w:pPr>
      <w:r>
        <w:rPr>
          <w:rFonts w:ascii="Arial" w:cs="Arial" w:eastAsia="Arial" w:hAnsi="Arial"/>
          <w:color w:val="2D2D2D"/>
          <w:sz w:val="22"/>
          <w:szCs w:val="22"/>
        </w:rPr>
        <w:t xml:space="preserve">AMOSKYS (Autonomous Monitoring &amp; Observability Security Kernel for Your System) represents a novel approach to endpoint security for macOS, designed from first principles as an AI-native detection and response platform. Unlike traditional endpoint security solutions that rely on signature databases or kernel extensions, AMOSKYS operates entirely in user space while achieving comprehensive visibility through a multi-layered architecture comprising 27 autonomous agents, 205 specialized probes, and an eight-layer processing pipeline from raw sensor telemetry to intelligent incident response.</w:t>
      </w:r>
    </w:p>
    <w:p>
      <w:pPr>
        <w:spacing w:after="160" w:line="276"/>
        <w:jc w:val="both"/>
      </w:pPr>
      <w:r>
        <w:rPr>
          <w:rFonts w:ascii="Arial" w:cs="Arial" w:eastAsia="Arial" w:hAnsi="Arial"/>
          <w:color w:val="2D2D2D"/>
          <w:sz w:val="22"/>
          <w:szCs w:val="22"/>
        </w:rPr>
        <w:t xml:space="preserve">This paper presents the complete engine architecture of AMOSKYS v0.9.0-beta.1, a system spanning approximately 38,000 lines of Python. We describe the design rationale for each architectural layer: the Sensor Mesh for high-fidelity telemetry collection; the gRPC Transport layer with cryptographic integrity guarantees; the six-stage Processing Pipeline for enrichment and scoring; the SQLite-backed TelemetryStore optimized for sub-19ms query latency; the FusionEngine for multi-signal correlation with reliability-weighted inputs; the SOMA machine learning brain for unsupervised anomaly detection with supervised refinement; the IGRIS intelligence layer providing autonomous supervisory governance; and the real-time Flask dashboard for human-in-the-loop operations.</w:t>
      </w:r>
    </w:p>
    <w:p>
      <w:pPr>
        <w:spacing w:after="160" w:line="276"/>
        <w:jc w:val="both"/>
      </w:pPr>
      <w:r>
        <w:rPr>
          <w:rFonts w:ascii="Arial" w:cs="Arial" w:eastAsia="Arial" w:hAnsi="Arial"/>
          <w:color w:val="2D2D2D"/>
          <w:sz w:val="22"/>
          <w:szCs w:val="22"/>
        </w:rPr>
        <w:t xml:space="preserve">We introduce several contributions relevant to the endpoint security research community: a six-layer Trust Stack that provides formal guarantees on detection quality from cryptographic integrity through automated false-positive calibration; the AMRDR (Adaptive Multi-Resolution Detection Reliability) framework for Bayesian agent reliability tracking with drift detection; a confidence-gated prevention ladder that maps detection confidence to graduated defensive actions; and an agent mesh architecture enabling real-time inter-agent communication for coordinated threat response. Each subsystem is described with sufficient detail for independent reproduction.</w:t>
      </w:r>
    </w:p>
    <w:p>
      <w:r>
        <w:br w:type="page"/>
      </w:r>
    </w:p>
    <w:p>
      <w:pPr>
        <w:pStyle w:val="Heading1"/>
        <w:spacing w:after="120" w:before="360"/>
      </w:pPr>
      <w:r>
        <w:rPr>
          <w:rFonts w:ascii="Arial" w:cs="Arial" w:eastAsia="Arial" w:hAnsi="Arial"/>
        </w:rPr>
        <w:t xml:space="preserve">1. Introduction</w:t>
      </w:r>
    </w:p>
    <w:p>
      <w:pPr>
        <w:pStyle w:val="Heading2"/>
        <w:spacing w:after="120" w:before="240"/>
      </w:pPr>
      <w:r>
        <w:rPr>
          <w:rFonts w:ascii="Arial" w:cs="Arial" w:eastAsia="Arial" w:hAnsi="Arial"/>
        </w:rPr>
        <w:t xml:space="preserve">1.1 The macOS Endpoint Security Challenge</w:t>
      </w:r>
    </w:p>
    <w:p>
      <w:pPr>
        <w:spacing w:after="160" w:line="276"/>
        <w:jc w:val="both"/>
      </w:pPr>
      <w:r>
        <w:rPr>
          <w:rFonts w:ascii="Arial" w:cs="Arial" w:eastAsia="Arial" w:hAnsi="Arial"/>
          <w:color w:val="2D2D2D"/>
          <w:sz w:val="22"/>
          <w:szCs w:val="22"/>
        </w:rPr>
        <w:t xml:space="preserve">The macOS security landscape presents unique challenges for detection engineering. Apple’s Endpoint Security Framework (ESF), introduced in macOS 10.15 Catalina, provides kernel-level event notifications but imposes strict architectural constraints: applications must hold a specific entitlement, events are delivered asynchronously with no guaranteed ordering, and the framework is unavailable to unsigned or third-party developers without Apple’s explicit approval. These constraints have created a gap between what is theoretically observable on macOS and what independent security researchers can actually monitor.</w:t>
      </w:r>
    </w:p>
    <w:p>
      <w:pPr>
        <w:spacing w:after="160" w:line="276"/>
        <w:jc w:val="both"/>
      </w:pPr>
      <w:r>
        <w:rPr>
          <w:rFonts w:ascii="Arial" w:cs="Arial" w:eastAsia="Arial" w:hAnsi="Arial"/>
          <w:color w:val="2D2D2D"/>
          <w:sz w:val="22"/>
          <w:szCs w:val="22"/>
        </w:rPr>
        <w:t xml:space="preserve">AMOSKYS addresses this gap through a strategy we term “compensatory observability”: rather than requiring kernel-level access, it synthesizes equivalent or superior visibility by combining 205 user-space probes across 17 collection agents, unified log streaming, and machine learning correlation. The result is a system that detects the same attack patterns as ESF-dependent solutions—credential access, persistence installation, lateral movement, data exfiltration—while operating entirely within the user-space sandbox.</w:t>
      </w:r>
    </w:p>
    <w:p>
      <w:pPr>
        <w:pStyle w:val="Heading2"/>
        <w:spacing w:after="120" w:before="240"/>
      </w:pPr>
      <w:r>
        <w:rPr>
          <w:rFonts w:ascii="Arial" w:cs="Arial" w:eastAsia="Arial" w:hAnsi="Arial"/>
        </w:rPr>
        <w:t xml:space="preserve">1.2 Design Philosophy</w:t>
      </w:r>
    </w:p>
    <w:p>
      <w:pPr>
        <w:spacing w:after="160" w:line="276"/>
        <w:jc w:val="both"/>
      </w:pPr>
      <w:r>
        <w:rPr>
          <w:rFonts w:ascii="Arial" w:cs="Arial" w:eastAsia="Arial" w:hAnsi="Arial"/>
          <w:color w:val="2D2D2D"/>
          <w:sz w:val="22"/>
          <w:szCs w:val="22"/>
        </w:rPr>
        <w:t xml:space="preserve">AMOSKYS is built on four foundational principles that distinguish it from both commercial EDR products and academic prototypes:</w:t>
      </w:r>
    </w:p>
    <w:p>
      <w:pPr>
        <w:pStyle w:val="ListParagraph"/>
        <w:numPr>
          <w:ilvl w:val="0"/>
          <w:numId w:val="2"/>
        </w:numPr>
        <w:spacing w:after="80" w:line="276"/>
      </w:pPr>
      <w:r>
        <w:rPr>
          <w:rFonts w:ascii="Arial" w:cs="Arial" w:eastAsia="Arial" w:hAnsi="Arial"/>
          <w:color w:val="2D2D2D"/>
          <w:sz w:val="22"/>
          <w:szCs w:val="22"/>
        </w:rPr>
        <w:t xml:space="preserve">AI-Native Architecture: Machine learning is not bolted onto a rule engine; it is woven into every layer. The SOMA brain provides anomaly scores that feed into the scoring engine with 30% weight, and the IGRIS supervisor uses LLM reasoning to correlate signals that statistical models miss.</w:t>
      </w:r>
    </w:p>
    <w:p>
      <w:pPr>
        <w:pStyle w:val="ListParagraph"/>
        <w:numPr>
          <w:ilvl w:val="0"/>
          <w:numId w:val="2"/>
        </w:numPr>
        <w:spacing w:after="80" w:line="276"/>
      </w:pPr>
      <w:r>
        <w:rPr>
          <w:rFonts w:ascii="Arial" w:cs="Arial" w:eastAsia="Arial" w:hAnsi="Arial"/>
          <w:color w:val="2D2D2D"/>
          <w:sz w:val="22"/>
          <w:szCs w:val="22"/>
        </w:rPr>
        <w:t xml:space="preserve">Zero-Trust Telemetry: Every event is cryptographically signed at the point of collection (Ed25519), integrity-verified through BLAKE2b hash chains, and contract-validated before entering the scoring pipeline. No telemetry is trusted by default.</w:t>
      </w:r>
    </w:p>
    <w:p>
      <w:pPr>
        <w:pStyle w:val="ListParagraph"/>
        <w:numPr>
          <w:ilvl w:val="0"/>
          <w:numId w:val="2"/>
        </w:numPr>
        <w:spacing w:after="80" w:line="276"/>
      </w:pPr>
      <w:r>
        <w:rPr>
          <w:rFonts w:ascii="Arial" w:cs="Arial" w:eastAsia="Arial" w:hAnsi="Arial"/>
          <w:color w:val="2D2D2D"/>
          <w:sz w:val="22"/>
          <w:szCs w:val="22"/>
        </w:rPr>
        <w:t xml:space="preserve">Graduated Response: Detection confidence maps to action authority through a four-tier prevention ladder. Low-confidence signals trigger collection expansion; only critical-confidence detections (0.9+) authorize process termination or binary quarantine.</w:t>
      </w:r>
    </w:p>
    <w:p>
      <w:pPr>
        <w:pStyle w:val="ListParagraph"/>
        <w:numPr>
          <w:ilvl w:val="0"/>
          <w:numId w:val="2"/>
        </w:numPr>
        <w:spacing w:after="80" w:line="276"/>
      </w:pPr>
      <w:r>
        <w:rPr>
          <w:rFonts w:ascii="Arial" w:cs="Arial" w:eastAsia="Arial" w:hAnsi="Arial"/>
          <w:color w:val="2D2D2D"/>
          <w:sz w:val="22"/>
          <w:szCs w:val="22"/>
        </w:rPr>
        <w:t xml:space="preserve">Solo-Founder Feasibility: The entire system is pure Python with SQLite storage. No Redis, no Kafka, no Kubernetes. This is an explicit design constraint: every component must be maintainable by a single engineer.</w:t>
      </w:r>
    </w:p>
    <w:p>
      <w:pPr>
        <w:pStyle w:val="Heading2"/>
        <w:spacing w:after="120" w:before="240"/>
      </w:pPr>
      <w:r>
        <w:rPr>
          <w:rFonts w:ascii="Arial" w:cs="Arial" w:eastAsia="Arial" w:hAnsi="Arial"/>
        </w:rPr>
        <w:t xml:space="preserve">1.3 Contributions</w:t>
      </w:r>
    </w:p>
    <w:p>
      <w:pPr>
        <w:spacing w:after="160" w:line="276"/>
        <w:jc w:val="both"/>
      </w:pPr>
      <w:r>
        <w:rPr>
          <w:rFonts w:ascii="Arial" w:cs="Arial" w:eastAsia="Arial" w:hAnsi="Arial"/>
          <w:color w:val="2D2D2D"/>
          <w:sz w:val="22"/>
          <w:szCs w:val="22"/>
        </w:rPr>
        <w:t xml:space="preserve">This paper makes the following contributions to the endpoint security and detection engineering literature:</w:t>
      </w:r>
    </w:p>
    <w:p>
      <w:pPr>
        <w:pStyle w:val="ListParagraph"/>
        <w:numPr>
          <w:ilvl w:val="0"/>
          <w:numId w:val="3"/>
        </w:numPr>
        <w:spacing w:after="80" w:line="276"/>
      </w:pPr>
      <w:r>
        <w:rPr>
          <w:rFonts w:ascii="Arial" w:cs="Arial" w:eastAsia="Arial" w:hAnsi="Arial"/>
          <w:color w:val="2D2D2D"/>
          <w:sz w:val="22"/>
          <w:szCs w:val="22"/>
        </w:rPr>
        <w:t xml:space="preserve">A complete eight-layer architecture for user-space endpoint detection on macOS, demonstrating that comprehensive visibility is achievable without kernel extensions or ESF entitlements.</w:t>
      </w:r>
    </w:p>
    <w:p>
      <w:pPr>
        <w:pStyle w:val="ListParagraph"/>
        <w:numPr>
          <w:ilvl w:val="0"/>
          <w:numId w:val="3"/>
        </w:numPr>
        <w:spacing w:after="80" w:line="276"/>
      </w:pPr>
      <w:r>
        <w:rPr>
          <w:rFonts w:ascii="Arial" w:cs="Arial" w:eastAsia="Arial" w:hAnsi="Arial"/>
          <w:color w:val="2D2D2D"/>
          <w:sz w:val="22"/>
          <w:szCs w:val="22"/>
        </w:rPr>
        <w:t xml:space="preserve">The AMRDR framework: a Bayesian reliability tracking system using Beta-Binomial posteriors with ADWIN and EDDM drift detection, enabling the fusion engine to automatically deweight unreliable agents.</w:t>
      </w:r>
    </w:p>
    <w:p>
      <w:pPr>
        <w:pStyle w:val="ListParagraph"/>
        <w:numPr>
          <w:ilvl w:val="0"/>
          <w:numId w:val="3"/>
        </w:numPr>
        <w:spacing w:after="80" w:line="276"/>
      </w:pPr>
      <w:r>
        <w:rPr>
          <w:rFonts w:ascii="Arial" w:cs="Arial" w:eastAsia="Arial" w:hAnsi="Arial"/>
          <w:color w:val="2D2D2D"/>
          <w:sz w:val="22"/>
          <w:szCs w:val="22"/>
        </w:rPr>
        <w:t xml:space="preserve">A six-layer Trust Stack providing formal guarantees from cryptographic integrity through automated ML calibration, eliminating approximately 80% of false positives without human intervention.</w:t>
      </w:r>
    </w:p>
    <w:p>
      <w:pPr>
        <w:pStyle w:val="ListParagraph"/>
        <w:numPr>
          <w:ilvl w:val="0"/>
          <w:numId w:val="3"/>
        </w:numPr>
        <w:spacing w:after="80" w:line="276"/>
      </w:pPr>
      <w:r>
        <w:rPr>
          <w:rFonts w:ascii="Arial" w:cs="Arial" w:eastAsia="Arial" w:hAnsi="Arial"/>
          <w:color w:val="2D2D2D"/>
          <w:sz w:val="22"/>
          <w:szCs w:val="22"/>
        </w:rPr>
        <w:t xml:space="preserve">An agent mesh architecture enabling real-time inter-agent communication, directed watch capabilities, and adaptive polling for coordinated threat response.</w:t>
      </w:r>
    </w:p>
    <w:p>
      <w:pPr>
        <w:pStyle w:val="ListParagraph"/>
        <w:numPr>
          <w:ilvl w:val="0"/>
          <w:numId w:val="3"/>
        </w:numPr>
        <w:spacing w:after="160" w:line="276"/>
      </w:pPr>
      <w:r>
        <w:rPr>
          <w:rFonts w:ascii="Arial" w:cs="Arial" w:eastAsia="Arial" w:hAnsi="Arial"/>
          <w:color w:val="2D2D2D"/>
          <w:sz w:val="22"/>
          <w:szCs w:val="22"/>
        </w:rPr>
        <w:t xml:space="preserve">The IGRIS supervisory intelligence layer: an LLM-powered analyst and autonomous defender operating through 22 specialized security tools with confidence-gated action authority.</w:t>
      </w:r>
    </w:p>
    <w:p>
      <w:pPr>
        <w:pStyle w:val="Heading2"/>
        <w:spacing w:after="120" w:before="240"/>
      </w:pPr>
      <w:r>
        <w:rPr>
          <w:rFonts w:ascii="Arial" w:cs="Arial" w:eastAsia="Arial" w:hAnsi="Arial"/>
        </w:rPr>
        <w:t xml:space="preserve">1.4 Paper Organization</w:t>
      </w:r>
    </w:p>
    <w:p>
      <w:pPr>
        <w:spacing w:after="160" w:line="276"/>
        <w:jc w:val="both"/>
      </w:pPr>
      <w:r>
        <w:rPr>
          <w:rFonts w:ascii="Arial" w:cs="Arial" w:eastAsia="Arial" w:hAnsi="Arial"/>
          <w:color w:val="2D2D2D"/>
          <w:sz w:val="22"/>
          <w:szCs w:val="22"/>
        </w:rPr>
        <w:t xml:space="preserve">Section 2 presents the architecture overview. Sections 3 through 10 describe each of the eight layers in detail. Section 11 presents the Trust Stack as a unified framework. Section 12 describes the database topology. Section 13 covers the startup sequence and operational lifecycle. Section 14 discusses performance characteristics. Section 15 provides comparison with existing solutions. Section 16 concludes with future directions.</w:t>
      </w:r>
    </w:p>
    <w:p>
      <w:r>
        <w:br w:type="page"/>
      </w:r>
    </w:p>
    <w:p>
      <w:pPr>
        <w:pStyle w:val="Heading1"/>
        <w:spacing w:after="120" w:before="360"/>
      </w:pPr>
      <w:r>
        <w:rPr>
          <w:rFonts w:ascii="Arial" w:cs="Arial" w:eastAsia="Arial" w:hAnsi="Arial"/>
        </w:rPr>
        <w:t xml:space="preserve">2. Architecture Overview</w:t>
      </w:r>
    </w:p>
    <w:p>
      <w:pPr>
        <w:spacing w:after="160" w:line="276"/>
        <w:jc w:val="both"/>
      </w:pPr>
      <w:r>
        <w:rPr>
          <w:rFonts w:ascii="Arial" w:cs="Arial" w:eastAsia="Arial" w:hAnsi="Arial"/>
          <w:color w:val="2D2D2D"/>
          <w:sz w:val="22"/>
          <w:szCs w:val="22"/>
        </w:rPr>
        <w:t xml:space="preserve">AMOSKYS employs a stratified pipeline architecture where data flows unidirectionally from raw sensor telemetry through successive layers of processing, enrichment, correlation, and intelligence. Each layer operates independently and communicates through well-defined interfaces—protobuf messages between layers 1–2, SQLite writes between layers 2–4, and in-process function calls between layers 4–8.</w:t>
      </w:r>
    </w:p>
    <w:p>
      <w:pPr>
        <w:spacing w:after="80" w:before="200"/>
        <w:jc w:val="left"/>
      </w:pPr>
      <w:r>
        <w:rPr>
          <w:rFonts w:ascii="Arial" w:cs="Arial" w:eastAsia="Arial" w:hAnsi="Arial"/>
          <w:b/>
          <w:bCs/>
          <w:i/>
          <w:iCs/>
          <w:color w:val="1B2A4A"/>
          <w:sz w:val="20"/>
          <w:szCs w:val="20"/>
        </w:rPr>
        <w:t xml:space="preserve">Table 1. </w:t>
      </w:r>
      <w:r>
        <w:rPr>
          <w:rFonts w:ascii="Arial" w:cs="Arial" w:eastAsia="Arial" w:hAnsi="Arial"/>
          <w:i/>
          <w:iCs/>
          <w:color w:val="5A6B7F"/>
          <w:sz w:val="20"/>
          <w:szCs w:val="20"/>
        </w:rPr>
        <w:t xml:space="preserve">AMOSKYS Eight-Layer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4760"/>
      </w:tblGrid>
      <w:tr>
        <w:tc>
          <w:tcPr>
            <w:tcW w:type="dxa" w:w="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2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Core Component</w:t>
            </w:r>
          </w:p>
        </w:tc>
        <w:tc>
          <w:tcPr>
            <w:tcW w:type="dxa" w:w="47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Responsibility</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w:t>
            </w:r>
          </w:p>
        </w:tc>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Sensor Mesh</w:t>
            </w:r>
          </w:p>
        </w:tc>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17 Agents, 205 Probes</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Raw telemetry collection from macOS subsystems via user-space polling, log streaming, and filesystem monitoring</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2</w:t>
            </w:r>
          </w:p>
        </w:tc>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Transport</w:t>
            </w:r>
          </w:p>
        </w:tc>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EventBus gRPC</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Cryptographically-verified event delivery with rate limiting, deduplication, and write-ahead logging</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3</w:t>
            </w:r>
          </w:p>
        </w:tc>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Processing Pipeline</w:t>
            </w:r>
          </w:p>
        </w:tc>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WALProcessor</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Six-stage pipeline: integrity verification, deduplication, contract validation, enrichment, trust context, and scoring</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4</w:t>
            </w:r>
          </w:p>
        </w:tc>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Storage</w:t>
            </w:r>
          </w:p>
        </w:tc>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TelemetryStore</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SQLite WAL-mode persistence across 10+ tables with read-pool optimization for sub-19ms query latency</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5</w:t>
            </w:r>
          </w:p>
        </w:tc>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Fusion</w:t>
            </w:r>
          </w:p>
        </w:tc>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FusionEngine</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Multi-signal correlation using 13 fusion rules, AMRDR reliability weighting, and kill chain tracking</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6</w:t>
            </w:r>
          </w:p>
        </w:tc>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SOMA ML</w:t>
            </w:r>
          </w:p>
        </w:tc>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SomaBrain</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Unsupervised anomaly detection (IsolationForest), supervised classification (GradientBoost), event embedding (SVD), and auto-calibration</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7</w:t>
            </w:r>
          </w:p>
        </w:tc>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Intelligence</w:t>
            </w:r>
          </w:p>
        </w:tc>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Autonomous supervisory governance with observation daemon, playbook dispatcher, and LLM-powered analyst with 22 tools</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8</w:t>
            </w:r>
          </w:p>
        </w:tc>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Presentation</w:t>
            </w:r>
          </w:p>
        </w:tc>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Flask Dashboard</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25+ route web interface with Socket.IO real-time updates, MITRE ATT&amp;CK mapping, and threat hunting console</w:t>
            </w:r>
          </w:p>
        </w:tc>
      </w:tr>
    </w:tbl>
    <w:p>
      <w:pPr>
        <w:spacing w:after="200" w:before="80"/>
        <w:jc w:val="center"/>
      </w:pPr>
      <w:r>
        <w:rPr>
          <w:rFonts w:ascii="Arial" w:cs="Arial" w:eastAsia="Arial" w:hAnsi="Arial"/>
          <w:b/>
          <w:bCs/>
          <w:i/>
          <w:iCs/>
          <w:color w:val="1B2A4A"/>
          <w:sz w:val="20"/>
          <w:szCs w:val="20"/>
        </w:rPr>
        <w:t xml:space="preserve">Figure 1. </w:t>
      </w:r>
      <w:r>
        <w:rPr>
          <w:rFonts w:ascii="Arial" w:cs="Arial" w:eastAsia="Arial" w:hAnsi="Arial"/>
          <w:i/>
          <w:iCs/>
          <w:color w:val="5A6B7F"/>
          <w:sz w:val="20"/>
          <w:szCs w:val="20"/>
        </w:rPr>
        <w:t xml:space="preserve">Eight-layer architecture of AMOSKYS with core components and responsibilities</w:t>
      </w:r>
    </w:p>
    <w:p>
      <w:pPr>
        <w:spacing w:after="160" w:line="276"/>
        <w:jc w:val="both"/>
      </w:pPr>
      <w:r>
        <w:rPr>
          <w:rFonts w:ascii="Arial" w:cs="Arial" w:eastAsia="Arial" w:hAnsi="Arial"/>
          <w:color w:val="2D2D2D"/>
          <w:sz w:val="22"/>
          <w:szCs w:val="22"/>
        </w:rPr>
        <w:t xml:space="preserve">The architecture enforces a strict separation between collection (Layer 1), verification (Layers 2–3), storage (Layer 4), analysis (Layers 5–6), intelligence (Layer 7), and presentation (Layer 8). This stratification enables independent evolution of each layer and provides natural boundaries for testing, debugging, and performance optimization.</w:t>
      </w:r>
    </w:p>
    <w:p>
      <w:r>
        <w:br w:type="page"/>
      </w:r>
    </w:p>
    <w:p>
      <w:pPr>
        <w:pStyle w:val="Heading1"/>
        <w:spacing w:after="120" w:before="360"/>
      </w:pPr>
      <w:r>
        <w:rPr>
          <w:rFonts w:ascii="Arial" w:cs="Arial" w:eastAsia="Arial" w:hAnsi="Arial"/>
        </w:rPr>
        <w:t xml:space="preserve">3. Layer 1: The Sensor Mesh</w:t>
      </w:r>
    </w:p>
    <w:p>
      <w:pPr>
        <w:spacing w:after="160" w:line="276"/>
        <w:jc w:val="both"/>
      </w:pPr>
      <w:r>
        <w:rPr>
          <w:rFonts w:ascii="Arial" w:cs="Arial" w:eastAsia="Arial" w:hAnsi="Arial"/>
          <w:color w:val="2D2D2D"/>
          <w:sz w:val="22"/>
          <w:szCs w:val="22"/>
        </w:rPr>
        <w:t xml:space="preserve">The Sensor Mesh forms the foundation of AMOSKYS’s observability. Comprising 17 autonomous collection agents with 205 specialized probes, it monitors every major macOS subsystem from process execution and file integrity to DNS resolution and peripheral device connections.</w:t>
      </w:r>
    </w:p>
    <w:p>
      <w:pPr>
        <w:pStyle w:val="Heading2"/>
        <w:spacing w:after="120" w:before="240"/>
      </w:pPr>
      <w:r>
        <w:rPr>
          <w:rFonts w:ascii="Arial" w:cs="Arial" w:eastAsia="Arial" w:hAnsi="Arial"/>
        </w:rPr>
        <w:t xml:space="preserve">3.1 Agent Taxonomy</w:t>
      </w:r>
    </w:p>
    <w:p>
      <w:pPr>
        <w:spacing w:after="160" w:line="276"/>
        <w:jc w:val="both"/>
      </w:pPr>
      <w:r>
        <w:rPr>
          <w:rFonts w:ascii="Arial" w:cs="Arial" w:eastAsia="Arial" w:hAnsi="Arial"/>
          <w:color w:val="2D2D2D"/>
          <w:sz w:val="22"/>
          <w:szCs w:val="22"/>
        </w:rPr>
        <w:t xml:space="preserve">Agents are organized into four functional tiers based on the attack surface they monitor. Each agent runs as an independent thread with its own collection loop, local offline queue (SQLite), and Ed25519 signing keypair.</w:t>
      </w:r>
    </w:p>
    <w:p>
      <w:pPr>
        <w:spacing w:after="80" w:before="200"/>
        <w:jc w:val="left"/>
      </w:pPr>
      <w:r>
        <w:rPr>
          <w:rFonts w:ascii="Arial" w:cs="Arial" w:eastAsia="Arial" w:hAnsi="Arial"/>
          <w:b/>
          <w:bCs/>
          <w:i/>
          <w:iCs/>
          <w:color w:val="1B2A4A"/>
          <w:sz w:val="20"/>
          <w:szCs w:val="20"/>
        </w:rPr>
        <w:t xml:space="preserve">Table 2. </w:t>
      </w:r>
      <w:r>
        <w:rPr>
          <w:rFonts w:ascii="Arial" w:cs="Arial" w:eastAsia="Arial" w:hAnsi="Arial"/>
          <w:i/>
          <w:iCs/>
          <w:color w:val="5A6B7F"/>
          <w:sz w:val="20"/>
          <w:szCs w:val="20"/>
        </w:rPr>
        <w:t xml:space="preserve">Complete Sensor Mesh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800"/>
        <w:gridCol w:w="4760"/>
      </w:tblGrid>
      <w:tr>
        <w:tc>
          <w:tcPr>
            <w:tcW w:type="dxa" w:w="11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7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Probes</w:t>
            </w:r>
          </w:p>
        </w:tc>
        <w:tc>
          <w:tcPr>
            <w:tcW w:type="dxa" w:w="47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Detection Surface</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Core Telemetry</w:t>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Process</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10</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Process spawn, dylib injection, LoLBin abuse, code signature violations, environment variable manipulation</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Auth</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6</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sudo escalation, login brute force, SSH key modification, Kerberos ticket anomalies, PAM module tampering</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FIM</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File tamper detection, hash baseline comparison, configuration modification, critical path monitoring, quarantine flag removal</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Network</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C2 beaconing patterns, exfiltration volume spikes, lateral movement attempts, unusual port bindings, TLS certificate anomalies</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System Depth</w:t>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DNS</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DGA domain detection, DNS tunneling payloads, beacon periodicity, fast-flux resolution, NXDOMAIN spikes, DoH/DoT anomalies</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Persistence</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10</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LaunchDaemon/Agent creation, cron job insertion, SSH authorized_keys modification, login hook installation, kernel extension loading</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Peripheral</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4</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USB mass storage insertion, Bluetooth device pairing, Thunderbolt accessory enumeration, hardware keylogger signatures</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UnifiedLog</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6</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TCC consent events, privilege escalation attempts, XPC service anomalies, code signing events, entitlement violations</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Application</w:t>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AppLog</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7</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Application crashes, error pattern clustering, memory pressure events, thermal throttling, sandbox violations, crash loop detection</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Discovery</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6</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ARP table changes, Bonjour service enumeration, mDNS responder anomalies, network interface transitions, routing table modifications</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Internet</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Cloud storage exfiltration, browser credential access, OAuth token theft, web shell detection, outbound proxy tunneling</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DBActivity</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SQLite direct access (Keychain, Safari, Messages), SQL injection patterns, database file modification, WAL checkpoint anomalies</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Advanced</w:t>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HTTP Inspection</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8</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Protocol-level inspection, header manipulation, payload encoding detection, API abuse patterns, web application attacks</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NetSentinel</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Port scan detection, service enumeration, network access log analysis, firewall state monitoring</w:t>
            </w:r>
          </w:p>
        </w:tc>
      </w:tr>
      <w:tr>
        <w:tc>
          <w:tcPr>
            <w:tcW w:type="dxa" w:w="11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InfostealerGuard</w:t>
            </w:r>
          </w:p>
        </w:tc>
        <w:tc>
          <w:tcPr>
            <w:tcW w:type="dxa" w:w="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w:t>
            </w:r>
          </w:p>
        </w:tc>
        <w:tc>
          <w:tcPr>
            <w:tcW w:type="dxa" w:w="4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Keychain access patterns, browser credential file reads, cookie theft, screenshot capture, clipboard monitoring</w:t>
            </w:r>
          </w:p>
        </w:tc>
      </w:tr>
      <w:tr>
        <w:tc>
          <w:tcPr>
            <w:tcW w:type="dxa" w:w="11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
            </w:r>
          </w:p>
        </w:tc>
        <w:tc>
          <w:tcPr>
            <w:tcW w:type="dxa" w:w="17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Quarantine</w:t>
            </w:r>
          </w:p>
        </w:tc>
        <w:tc>
          <w:tcPr>
            <w:tcW w:type="dxa" w:w="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w:t>
            </w:r>
          </w:p>
        </w:tc>
        <w:tc>
          <w:tcPr>
            <w:tcW w:type="dxa" w:w="4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Gatekeeper bypass attempts, quarantine flag manipulation, xattr removal, notarization status changes</w:t>
            </w:r>
          </w:p>
        </w:tc>
      </w:tr>
    </w:tbl>
    <w:p>
      <w:pPr>
        <w:spacing w:after="200" w:before="80"/>
        <w:jc w:val="center"/>
      </w:pPr>
      <w:r>
        <w:rPr>
          <w:rFonts w:ascii="Arial" w:cs="Arial" w:eastAsia="Arial" w:hAnsi="Arial"/>
          <w:b/>
          <w:bCs/>
          <w:i/>
          <w:iCs/>
          <w:color w:val="1B2A4A"/>
          <w:sz w:val="20"/>
          <w:szCs w:val="20"/>
        </w:rPr>
        <w:t xml:space="preserve">Figure 2. </w:t>
      </w:r>
      <w:r>
        <w:rPr>
          <w:rFonts w:ascii="Arial" w:cs="Arial" w:eastAsia="Arial" w:hAnsi="Arial"/>
          <w:i/>
          <w:iCs/>
          <w:color w:val="5A6B7F"/>
          <w:sz w:val="20"/>
          <w:szCs w:val="20"/>
        </w:rPr>
        <w:t xml:space="preserve">Complete inventory of 17 agents organized by functional tier, with probe counts and detection surfaces</w:t>
      </w:r>
    </w:p>
    <w:p>
      <w:pPr>
        <w:pStyle w:val="Heading2"/>
        <w:spacing w:after="120" w:before="240"/>
      </w:pPr>
      <w:r>
        <w:rPr>
          <w:rFonts w:ascii="Arial" w:cs="Arial" w:eastAsia="Arial" w:hAnsi="Arial"/>
        </w:rPr>
        <w:t xml:space="preserve">3.2 The ProvenanceEngine</w:t>
      </w:r>
    </w:p>
    <w:p>
      <w:pPr>
        <w:spacing w:after="160" w:line="276"/>
        <w:jc w:val="both"/>
      </w:pPr>
      <w:r>
        <w:rPr>
          <w:rFonts w:ascii="Arial" w:cs="Arial" w:eastAsia="Arial" w:hAnsi="Arial"/>
          <w:color w:val="2D2D2D"/>
          <w:sz w:val="22"/>
          <w:szCs w:val="22"/>
        </w:rPr>
        <w:t xml:space="preserve">Spanning all agent tiers, the ProvenanceEngine (8 probes) provides a cross-cutting code signing and provenance verification capability. Every binary observed during process monitoring is subjected to provenance analysis: code signature validation, developer certificate chain verification, notarization status checking, and entitlement extraction. The results feed into the Trust Context layer (Section 8.5) where known Apple-signed binaries are automatically deprioritized, reducing false positive volume by approximately 80%.</w:t>
      </w:r>
    </w:p>
    <w:p>
      <w:pPr>
        <w:pStyle w:val="Heading2"/>
        <w:spacing w:after="120" w:before="240"/>
      </w:pPr>
      <w:r>
        <w:rPr>
          <w:rFonts w:ascii="Arial" w:cs="Arial" w:eastAsia="Arial" w:hAnsi="Arial"/>
        </w:rPr>
        <w:t xml:space="preserve">3.3 Collection Architecture</w:t>
      </w:r>
    </w:p>
    <w:p>
      <w:pPr>
        <w:spacing w:after="160" w:line="276"/>
        <w:jc w:val="both"/>
      </w:pPr>
      <w:r>
        <w:rPr>
          <w:rFonts w:ascii="Arial" w:cs="Arial" w:eastAsia="Arial" w:hAnsi="Arial"/>
          <w:color w:val="2D2D2D"/>
          <w:sz w:val="22"/>
          <w:szCs w:val="22"/>
        </w:rPr>
        <w:t xml:space="preserve">Each agent follows a uniform lifecycle pattern. On initialization, the agent creates a per-agent SQLite offline queue, generates an Ed25519 keypair (or loads a persisted one), registers its probes with the collection scheduler, and connects to the EventBus gRPC transport. During steady-state operation, probes fire at configurable intervals (adaptive based on mesh mode), serialize findings as TelemetryEvent protobuf messages, sign them with the agent’s Ed25519 key, compute BLAKE2b checksums, and submit to the EventBus. If the EventBus is unreachable, events are queued locally and drained on reconnection.</w:t>
      </w:r>
    </w:p>
    <w:p>
      <w:r>
        <w:br w:type="page"/>
      </w:r>
    </w:p>
    <w:p>
      <w:pPr>
        <w:pStyle w:val="Heading1"/>
        <w:spacing w:after="120" w:before="360"/>
      </w:pPr>
      <w:r>
        <w:rPr>
          <w:rFonts w:ascii="Arial" w:cs="Arial" w:eastAsia="Arial" w:hAnsi="Arial"/>
        </w:rPr>
        <w:t xml:space="preserve">4. Layer 2: Transport</w:t>
      </w:r>
    </w:p>
    <w:p>
      <w:pPr>
        <w:spacing w:after="160" w:line="276"/>
        <w:jc w:val="both"/>
      </w:pPr>
      <w:r>
        <w:rPr>
          <w:rFonts w:ascii="Arial" w:cs="Arial" w:eastAsia="Arial" w:hAnsi="Arial"/>
          <w:color w:val="2D2D2D"/>
          <w:sz w:val="22"/>
          <w:szCs w:val="22"/>
        </w:rPr>
        <w:t xml:space="preserve">The Transport layer provides the reliable, authenticated communication fabric between the Sensor Mesh and the Processing Pipeline. Built on gRPC with Protocol Buffer serialization, it operates on port 50051 and implements two logically distinct service planes.</w:t>
      </w:r>
    </w:p>
    <w:p>
      <w:pPr>
        <w:pStyle w:val="Heading2"/>
        <w:spacing w:after="120" w:before="240"/>
      </w:pPr>
      <w:r>
        <w:rPr>
          <w:rFonts w:ascii="Arial" w:cs="Arial" w:eastAsia="Arial" w:hAnsi="Arial"/>
        </w:rPr>
        <w:t xml:space="preserve">4.1 Data Plane: UniversalEventBusServicer</w:t>
      </w:r>
    </w:p>
    <w:p>
      <w:pPr>
        <w:spacing w:after="160" w:line="276"/>
        <w:jc w:val="both"/>
      </w:pPr>
      <w:r>
        <w:rPr>
          <w:rFonts w:ascii="Arial" w:cs="Arial" w:eastAsia="Arial" w:hAnsi="Arial"/>
          <w:color w:val="2D2D2D"/>
          <w:sz w:val="22"/>
          <w:szCs w:val="22"/>
        </w:rPr>
        <w:t xml:space="preserve">The data plane handles high-volume telemetry ingestion from all 17 agents. It implements six defense-in-depth mechanisms:</w:t>
      </w:r>
    </w:p>
    <w:p>
      <w:pPr>
        <w:spacing w:after="80" w:before="200"/>
        <w:jc w:val="left"/>
      </w:pPr>
      <w:r>
        <w:rPr>
          <w:rFonts w:ascii="Arial" w:cs="Arial" w:eastAsia="Arial" w:hAnsi="Arial"/>
          <w:b/>
          <w:bCs/>
          <w:i/>
          <w:iCs/>
          <w:color w:val="1B2A4A"/>
          <w:sz w:val="20"/>
          <w:szCs w:val="20"/>
        </w:rPr>
        <w:t xml:space="preserve">Table 3. </w:t>
      </w:r>
      <w:r>
        <w:rPr>
          <w:rFonts w:ascii="Arial" w:cs="Arial" w:eastAsia="Arial" w:hAnsi="Arial"/>
          <w:i/>
          <w:iCs/>
          <w:color w:val="5A6B7F"/>
          <w:sz w:val="20"/>
          <w:szCs w:val="20"/>
        </w:rPr>
        <w:t xml:space="preserve">Transport Layer Data Plane Security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Mechanism</w:t>
            </w:r>
          </w:p>
        </w:tc>
        <w:tc>
          <w:tcPr>
            <w:tcW w:type="dxa" w:w="3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Implementation</w:t>
            </w:r>
          </w:p>
        </w:tc>
        <w:tc>
          <w:tcPr>
            <w:tcW w:type="dxa" w:w="39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Parameters</w:t>
            </w:r>
          </w:p>
        </w:tc>
      </w:tr>
      <w:tr>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TLS Encryption</w:t>
            </w:r>
          </w:p>
        </w:tc>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Server certificate + optional mutual TLS</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server.crt/key, CA-signed client certs for mTLS</w:t>
            </w:r>
          </w:p>
        </w:tc>
      </w:tr>
      <w:tr>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Ed25519 Verification</w:t>
            </w:r>
          </w:p>
        </w:tc>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Per-event signature verification</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Agent-specific public keys, reject on signature failure</w:t>
            </w:r>
          </w:p>
        </w:tc>
      </w:tr>
      <w:tr>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Rate Limiting</w:t>
            </w:r>
          </w:p>
        </w:tc>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Token bucket per agent</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100 events/second per agent, RETRY with backoff on overflow</w:t>
            </w:r>
          </w:p>
        </w:tc>
      </w:tr>
      <w:tr>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Idempotency Dedup</w:t>
            </w:r>
          </w:p>
        </w:tc>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BLAKE2b content hashing</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50,000-entry cache, 300-second TTL, silent skip on duplicate</w:t>
            </w:r>
          </w:p>
        </w:tc>
      </w:tr>
      <w:tr>
        <w:tc>
          <w:tcPr>
            <w:tcW w:type="dxa" w:w="2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Inflight Control</w:t>
            </w:r>
          </w:p>
        </w:tc>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Semaphore-gated concurrency</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100 soft limit, 500 hard limit, backpressure at capacity</w:t>
            </w:r>
          </w:p>
        </w:tc>
      </w:tr>
      <w:tr>
        <w:tc>
          <w:tcPr>
            <w:tcW w:type="dxa" w:w="2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Group-Commit Batching</w:t>
            </w:r>
          </w:p>
        </w:tc>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Buffer-then-flush to SQLite WAL</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100 events OR 50ms, whichever triggers first</w:t>
            </w:r>
          </w:p>
        </w:tc>
      </w:tr>
    </w:tbl>
    <w:p>
      <w:pPr>
        <w:pStyle w:val="Heading2"/>
        <w:spacing w:after="120" w:before="240"/>
      </w:pPr>
      <w:r>
        <w:rPr>
          <w:rFonts w:ascii="Arial" w:cs="Arial" w:eastAsia="Arial" w:hAnsi="Arial"/>
        </w:rPr>
        <w:t xml:space="preserve">4.2 Control Plane: EventBusControlServicer</w:t>
      </w:r>
    </w:p>
    <w:p>
      <w:pPr>
        <w:spacing w:after="160" w:line="276"/>
        <w:jc w:val="both"/>
      </w:pPr>
      <w:r>
        <w:rPr>
          <w:rFonts w:ascii="Arial" w:cs="Arial" w:eastAsia="Arial" w:hAnsi="Arial"/>
          <w:color w:val="2D2D2D"/>
          <w:sz w:val="22"/>
          <w:szCs w:val="22"/>
        </w:rPr>
        <w:t xml:space="preserve">The control plane provides topic-based publish/subscribe for coordination signals between system components. It exposes two RPCs: PublishSignal (fire-and-forget fanout) and SubscribeSignals (server-streaming). Three topic channels are defined: HEALTH for agent heartbeats and status updates, ALERT for real-time incident notifications, and CONTROL for orchestrator directives such as adaptive mode changes and directed watch commands.</w:t>
      </w:r>
    </w:p>
    <w:p>
      <w:pPr>
        <w:pStyle w:val="Heading2"/>
        <w:spacing w:after="120" w:before="240"/>
      </w:pPr>
      <w:r>
        <w:rPr>
          <w:rFonts w:ascii="Arial" w:cs="Arial" w:eastAsia="Arial" w:hAnsi="Arial"/>
        </w:rPr>
        <w:t xml:space="preserve">4.3 Write-Ahead Logging</w:t>
      </w:r>
    </w:p>
    <w:p>
      <w:pPr>
        <w:spacing w:after="160" w:line="276"/>
        <w:jc w:val="both"/>
      </w:pPr>
      <w:r>
        <w:rPr>
          <w:rFonts w:ascii="Arial" w:cs="Arial" w:eastAsia="Arial" w:hAnsi="Arial"/>
          <w:color w:val="2D2D2D"/>
          <w:sz w:val="22"/>
          <w:szCs w:val="22"/>
        </w:rPr>
        <w:t xml:space="preserve">All events accepted by the data plane are persisted to a SQLite WAL (Write-Ahead Log) at data/wal/flowagent.db before acknowledgment. Each WAL entry includes the raw event bytes, a BLAKE2b checksum, and a hash chain link (the BLAKE2b of the current raw bytes concatenated with the previous entry’s signature). This hash chain, designated A2.2 in the integrity specification, provides tamper-evident forensic continuity: any modification to a historical event breaks the chain and is detectable during replay. Events that fail integrity checks are quarantined to a dead_letter table with the original bytes preserved for forensic analysis.</w:t>
      </w:r>
    </w:p>
    <w:p>
      <w:pPr>
        <w:pStyle w:val="Heading2"/>
        <w:spacing w:after="120" w:before="240"/>
      </w:pPr>
      <w:r>
        <w:rPr>
          <w:rFonts w:ascii="Arial" w:cs="Arial" w:eastAsia="Arial" w:hAnsi="Arial"/>
        </w:rPr>
        <w:t xml:space="preserve">4.4 Observability</w:t>
      </w:r>
    </w:p>
    <w:p>
      <w:pPr>
        <w:spacing w:after="160" w:line="276"/>
        <w:jc w:val="both"/>
      </w:pPr>
      <w:r>
        <w:rPr>
          <w:rFonts w:ascii="Arial" w:cs="Arial" w:eastAsia="Arial" w:hAnsi="Arial"/>
          <w:color w:val="2D2D2D"/>
          <w:sz w:val="22"/>
          <w:szCs w:val="22"/>
        </w:rPr>
        <w:t xml:space="preserve">The Transport layer exports Prometheus metrics on port 9100, including bus_publish_total (event counter by agent and type), bus_publish_latency_ms (end-to-end ingestion latency histogram), and bus_inflight_requests (current concurrency gauge). These metrics feed into the IGRIS supervisor’s transport health monitoring subsystem.</w:t>
      </w:r>
    </w:p>
    <w:p>
      <w:r>
        <w:br w:type="page"/>
      </w:r>
    </w:p>
    <w:p>
      <w:pPr>
        <w:pStyle w:val="Heading1"/>
        <w:spacing w:after="120" w:before="360"/>
      </w:pPr>
      <w:r>
        <w:rPr>
          <w:rFonts w:ascii="Arial" w:cs="Arial" w:eastAsia="Arial" w:hAnsi="Arial"/>
        </w:rPr>
        <w:t xml:space="preserve">5. Layer 3: Processing Pipeline</w:t>
      </w:r>
    </w:p>
    <w:p>
      <w:pPr>
        <w:spacing w:after="160" w:line="276"/>
        <w:jc w:val="both"/>
      </w:pPr>
      <w:r>
        <w:rPr>
          <w:rFonts w:ascii="Arial" w:cs="Arial" w:eastAsia="Arial" w:hAnsi="Arial"/>
          <w:color w:val="2D2D2D"/>
          <w:sz w:val="22"/>
          <w:szCs w:val="22"/>
        </w:rPr>
        <w:t xml:space="preserve">The Processing Pipeline transforms raw, untrusted telemetry into enriched, scored, classified security events. Implemented as the WALProcessor, it drains the Transport layer’s SQLite WAL every 5 seconds in batches of up to 500 events, subjecting each to a six-stage pipeline.</w:t>
      </w:r>
    </w:p>
    <w:p>
      <w:pPr>
        <w:pStyle w:val="Heading2"/>
        <w:spacing w:after="120" w:before="240"/>
      </w:pPr>
      <w:r>
        <w:rPr>
          <w:rFonts w:ascii="Arial" w:cs="Arial" w:eastAsia="Arial" w:hAnsi="Arial"/>
        </w:rPr>
        <w:t xml:space="preserve">5.1 Stage 1: Integrity Verification</w:t>
      </w:r>
    </w:p>
    <w:p>
      <w:pPr>
        <w:spacing w:after="160" w:line="276"/>
        <w:jc w:val="both"/>
      </w:pPr>
      <w:r>
        <w:rPr>
          <w:rFonts w:ascii="Arial" w:cs="Arial" w:eastAsia="Arial" w:hAnsi="Arial"/>
          <w:color w:val="2D2D2D"/>
          <w:sz w:val="22"/>
          <w:szCs w:val="22"/>
        </w:rPr>
        <w:t xml:space="preserve">Each event undergoes two integrity checks. First, the BLAKE2b hash of the raw event bytes is compared against the stored checksum; any mismatch indicates corruption during transport or storage. Second, the hash chain signature is verified: BLAKE2b(raw_bytes + previous_signature) must equal the stored chain link. Events failing either check are moved to the dead_letter table with their original bytes preserved for forensic reconstruction. This stage ensures that no tampered or corrupted data enters the analytical pipeline.</w:t>
      </w:r>
    </w:p>
    <w:p>
      <w:pPr>
        <w:pStyle w:val="Heading2"/>
        <w:spacing w:after="120" w:before="240"/>
      </w:pPr>
      <w:r>
        <w:rPr>
          <w:rFonts w:ascii="Arial" w:cs="Arial" w:eastAsia="Arial" w:hAnsi="Arial"/>
        </w:rPr>
        <w:t xml:space="preserve">5.2 Stage 2: Deduplication</w:t>
      </w:r>
    </w:p>
    <w:p>
      <w:pPr>
        <w:spacing w:after="160" w:line="276"/>
        <w:jc w:val="both"/>
      </w:pPr>
      <w:r>
        <w:rPr>
          <w:rFonts w:ascii="Arial" w:cs="Arial" w:eastAsia="Arial" w:hAnsi="Arial"/>
          <w:color w:val="2D2D2D"/>
          <w:sz w:val="22"/>
          <w:szCs w:val="22"/>
        </w:rPr>
        <w:t xml:space="preserve">A BLAKE2b content hash is computed over the event’s semantic payload (excluding metadata such as timestamps and sequence numbers). This hash is checked against a 50,000-entry LRU cache with a 300-second TTL. Duplicate events—common when agents overlap in their monitoring of shared subsystems—are silently discarded. The cache parameters are tuned to balance memory consumption (approximately 3.2MB) against the deduplication window required for burst scenarios.</w:t>
      </w:r>
    </w:p>
    <w:p>
      <w:pPr>
        <w:pStyle w:val="Heading2"/>
        <w:spacing w:after="120" w:before="240"/>
      </w:pPr>
      <w:r>
        <w:rPr>
          <w:rFonts w:ascii="Arial" w:cs="Arial" w:eastAsia="Arial" w:hAnsi="Arial"/>
        </w:rPr>
        <w:t xml:space="preserve">5.3 Stage 3: Contract Validation</w:t>
      </w:r>
    </w:p>
    <w:p>
      <w:pPr>
        <w:spacing w:after="160" w:line="276"/>
        <w:jc w:val="both"/>
      </w:pPr>
      <w:r>
        <w:rPr>
          <w:rFonts w:ascii="Arial" w:cs="Arial" w:eastAsia="Arial" w:hAnsi="Arial"/>
          <w:color w:val="2D2D2D"/>
          <w:sz w:val="22"/>
          <w:szCs w:val="22"/>
        </w:rPr>
        <w:t xml:space="preserve">Each probe in the Sensor Mesh declares a data contract specifying requires_fields (mandatory fields for meaningful analysis) and field_semantics (type and range constraints). The contract validator classifies each event into one of three states: valid (all fields present and within semantic bounds), degraded (some fields missing but core analysis possible; the event is flagged with training_exclude=true to prevent ML model contamination), or invalid (critical fields missing; the event is dropped with a counter increment for the agent’s AMRDR reliability tracking).</w:t>
      </w:r>
    </w:p>
    <w:p>
      <w:pPr>
        <w:pStyle w:val="Heading2"/>
        <w:spacing w:after="120" w:before="240"/>
      </w:pPr>
      <w:r>
        <w:rPr>
          <w:rFonts w:ascii="Arial" w:cs="Arial" w:eastAsia="Arial" w:hAnsi="Arial"/>
        </w:rPr>
        <w:t xml:space="preserve">5.4 Stage 4: Enrichment Pipeline</w:t>
      </w:r>
    </w:p>
    <w:p>
      <w:pPr>
        <w:spacing w:after="160" w:line="276"/>
        <w:jc w:val="both"/>
      </w:pPr>
      <w:r>
        <w:rPr>
          <w:rFonts w:ascii="Arial" w:cs="Arial" w:eastAsia="Arial" w:hAnsi="Arial"/>
          <w:color w:val="2D2D2D"/>
          <w:sz w:val="22"/>
          <w:szCs w:val="22"/>
        </w:rPr>
        <w:t xml:space="preserve">Valid events pass through four sequential enrichment stages that progressively add context:</w:t>
      </w:r>
    </w:p>
    <w:p>
      <w:pPr>
        <w:spacing w:after="80" w:before="200"/>
        <w:jc w:val="left"/>
      </w:pPr>
      <w:r>
        <w:rPr>
          <w:rFonts w:ascii="Arial" w:cs="Arial" w:eastAsia="Arial" w:hAnsi="Arial"/>
          <w:b/>
          <w:bCs/>
          <w:i/>
          <w:iCs/>
          <w:color w:val="1B2A4A"/>
          <w:sz w:val="20"/>
          <w:szCs w:val="20"/>
        </w:rPr>
        <w:t xml:space="preserve">Table 4. </w:t>
      </w:r>
      <w:r>
        <w:rPr>
          <w:rFonts w:ascii="Arial" w:cs="Arial" w:eastAsia="Arial" w:hAnsi="Arial"/>
          <w:i/>
          <w:iCs/>
          <w:color w:val="5A6B7F"/>
          <w:sz w:val="20"/>
          <w:szCs w:val="20"/>
        </w:rPr>
        <w:t xml:space="preserve">Processing Pipeline Enrichment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Enricher</w:t>
            </w:r>
          </w:p>
        </w:tc>
        <w:tc>
          <w:tcPr>
            <w:tcW w:type="dxa" w:w="3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Added</w:t>
            </w:r>
          </w:p>
        </w:tc>
        <w:tc>
          <w:tcPr>
            <w:tcW w:type="dxa" w:w="41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1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GeoIP</w:t>
            </w:r>
          </w:p>
        </w:tc>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City, latitude/longitude, country code, continent</w:t>
            </w:r>
          </w:p>
        </w:tc>
        <w:tc>
          <w:tcPr>
            <w:tcW w:type="dxa" w:w="4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MaxMind GeoLite2-City.mmdb</w:t>
            </w:r>
          </w:p>
        </w:tc>
      </w:tr>
      <w:tr>
        <w:tc>
          <w:tcPr>
            <w:tcW w:type="dxa" w:w="1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ASN</w:t>
            </w:r>
          </w:p>
        </w:tc>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Organization name, network prefix, AS type classification</w:t>
            </w:r>
          </w:p>
        </w:tc>
        <w:tc>
          <w:tcPr>
            <w:tcW w:type="dxa" w:w="4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MaxMind GeoLite2-ASN.mmdb</w:t>
            </w:r>
          </w:p>
        </w:tc>
      </w:tr>
      <w:tr>
        <w:tc>
          <w:tcPr>
            <w:tcW w:type="dxa" w:w="1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Threat Intel</w:t>
            </w:r>
          </w:p>
        </w:tc>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IP reputation score, known malicious indicator match, threat category</w:t>
            </w:r>
          </w:p>
        </w:tc>
        <w:tc>
          <w:tcPr>
            <w:tcW w:type="dxa" w:w="4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85 seeded IOCs + runtime-discovered indicators</w:t>
            </w:r>
          </w:p>
        </w:tc>
      </w:tr>
      <w:tr>
        <w:tc>
          <w:tcPr>
            <w:tcW w:type="dxa" w:w="1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MITRE ATT&amp;CK</w:t>
            </w:r>
          </w:p>
        </w:tc>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Tactic ID, technique ID, sub-technique mapping, kill chain phase</w:t>
            </w:r>
          </w:p>
        </w:tc>
        <w:tc>
          <w:tcPr>
            <w:tcW w:type="dxa" w:w="4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24 pattern-matching rules across 12 MITRE techniques</w:t>
            </w:r>
          </w:p>
        </w:tc>
      </w:tr>
    </w:tbl>
    <w:p>
      <w:pPr>
        <w:spacing w:after="160" w:line="276"/>
        <w:jc w:val="both"/>
      </w:pPr>
      <w:r>
        <w:rPr>
          <w:rFonts w:ascii="Arial" w:cs="Arial" w:eastAsia="Arial" w:hAnsi="Arial"/>
          <w:color w:val="2D2D2D"/>
          <w:sz w:val="22"/>
          <w:szCs w:val="22"/>
        </w:rPr>
        <w:t xml:space="preserve">Each event exits the enrichment pipeline with an enrichment_status field: ‘enriched’ (all four stages contributed), ‘partial’ (some enrichers lacked data), or ‘raw’ (no enrichment data available). The enrichment status informs downstream scoring weights.</w:t>
      </w:r>
    </w:p>
    <w:p>
      <w:pPr>
        <w:pStyle w:val="Heading2"/>
        <w:spacing w:after="120" w:before="240"/>
      </w:pPr>
      <w:r>
        <w:rPr>
          <w:rFonts w:ascii="Arial" w:cs="Arial" w:eastAsia="Arial" w:hAnsi="Arial"/>
        </w:rPr>
        <w:t xml:space="preserve">5.5 Stage 5: Trust Context Layer</w:t>
      </w:r>
    </w:p>
    <w:p>
      <w:pPr>
        <w:spacing w:after="160" w:line="276"/>
        <w:jc w:val="both"/>
      </w:pPr>
      <w:r>
        <w:rPr>
          <w:rFonts w:ascii="Arial" w:cs="Arial" w:eastAsia="Arial" w:hAnsi="Arial"/>
          <w:color w:val="2D2D2D"/>
          <w:sz w:val="22"/>
          <w:szCs w:val="22"/>
        </w:rPr>
        <w:t xml:space="preserve">The Trust Context Layer applies two allowlisting mechanisms that dramatically reduce false positive volume. The Apple Allowlist contains 50+ known macOS system processes (TCC, Keychain, Safari, Spotlight, etc.) whose behaviors are expected and whose risk scores are capped at ‘legitimate’ regardless of statistical anomaly. The Self-Recognition module maintains a dynamic inventory of AMOSKYS’s own artifacts—its PIDs, bound ports, API destination IPs, and collection intervals (±2 second tolerance)—ensuring the platform does not alert on its own telemetry. Combined, these mechanisms eliminate approximately 80% of would-be false positives before scoring.</w:t>
      </w:r>
    </w:p>
    <w:p>
      <w:pPr>
        <w:pStyle w:val="Heading2"/>
        <w:spacing w:after="120" w:before="240"/>
      </w:pPr>
      <w:r>
        <w:rPr>
          <w:rFonts w:ascii="Arial" w:cs="Arial" w:eastAsia="Arial" w:hAnsi="Arial"/>
        </w:rPr>
        <w:t xml:space="preserve">5.6 Stage 6: Scoring Engine</w:t>
      </w:r>
    </w:p>
    <w:p>
      <w:pPr>
        <w:spacing w:after="160" w:line="276"/>
        <w:jc w:val="both"/>
      </w:pPr>
      <w:r>
        <w:rPr>
          <w:rFonts w:ascii="Arial" w:cs="Arial" w:eastAsia="Arial" w:hAnsi="Arial"/>
          <w:color w:val="2D2D2D"/>
          <w:sz w:val="22"/>
          <w:szCs w:val="22"/>
        </w:rPr>
        <w:t xml:space="preserve">The final pipeline stage computes a composite threat score as a weighted combination of four signal dimensions:</w:t>
      </w:r>
    </w:p>
    <w:p>
      <w:pPr>
        <w:spacing w:after="80" w:before="200"/>
        <w:jc w:val="left"/>
      </w:pPr>
      <w:r>
        <w:rPr>
          <w:rFonts w:ascii="Arial" w:cs="Arial" w:eastAsia="Arial" w:hAnsi="Arial"/>
          <w:b/>
          <w:bCs/>
          <w:i/>
          <w:iCs/>
          <w:color w:val="1B2A4A"/>
          <w:sz w:val="20"/>
          <w:szCs w:val="20"/>
        </w:rPr>
        <w:t xml:space="preserve">Table 5. </w:t>
      </w:r>
      <w:r>
        <w:rPr>
          <w:rFonts w:ascii="Arial" w:cs="Arial" w:eastAsia="Arial" w:hAnsi="Arial"/>
          <w:i/>
          <w:iCs/>
          <w:color w:val="5A6B7F"/>
          <w:sz w:val="20"/>
          <w:szCs w:val="20"/>
        </w:rPr>
        <w:t xml:space="preserve">Scoring Engine Weight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63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Inputs</w:t>
            </w:r>
          </w:p>
        </w:tc>
      </w:tr>
      <w:tr>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Geometric</w:t>
            </w:r>
          </w:p>
        </w:tc>
        <w:tc>
          <w:tcPr>
            <w:tcW w:type="dxa" w:w="1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35%</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IP reputation score, geographic risk (nation-state threat actors), ASN classification, known infrastructure overlap</w:t>
            </w:r>
          </w:p>
        </w:tc>
      </w:tr>
      <w:tr>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Temporal</w:t>
            </w:r>
          </w:p>
        </w:tc>
        <w:tc>
          <w:tcPr>
            <w:tcW w:type="dxa" w:w="1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25%</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Off-hours activity multiplier, event burst detection (events/minute exceeding 3σ from baseline), time-of-day anomaly</w:t>
            </w:r>
          </w:p>
        </w:tc>
      </w:tr>
      <w:tr>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Behavioral</w:t>
            </w:r>
          </w:p>
        </w:tc>
        <w:tc>
          <w:tcPr>
            <w:tcW w:type="dxa" w:w="1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10%</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Deviation from per-agent/per-probe baseline (EMA-tracked), first-seen entity bonus, parent-child process chain analysis</w:t>
            </w:r>
          </w:p>
        </w:tc>
      </w:tr>
      <w:tr>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SOMA ML</w:t>
            </w:r>
          </w:p>
        </w:tc>
        <w:tc>
          <w:tcPr>
            <w:tcW w:type="dxa" w:w="1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30%</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IsolationForest anomaly score (unsupervised) combined with GradientBoost classification confidence (when supervised labels available)</w:t>
            </w:r>
          </w:p>
        </w:tc>
      </w:tr>
    </w:tbl>
    <w:p>
      <w:pPr>
        <w:spacing w:after="160" w:line="276"/>
        <w:jc w:val="both"/>
      </w:pPr>
      <w:r>
        <w:rPr>
          <w:rFonts w:ascii="Arial" w:cs="Arial" w:eastAsia="Arial" w:hAnsi="Arial"/>
          <w:color w:val="2D2D2D"/>
          <w:sz w:val="22"/>
          <w:szCs w:val="22"/>
        </w:rPr>
        <w:t xml:space="preserve">The weighted sum produces a final classification: legitimate (score &lt; 0.3), suspicious (0.3 ≤ score &lt; 0.7), or malicious (score ≥ 0.7). This tri-state classification drives downstream fusion, incident creation, and IGRIS response decisions.</w:t>
      </w:r>
    </w:p>
    <w:p>
      <w:r>
        <w:br w:type="page"/>
      </w:r>
    </w:p>
    <w:p>
      <w:pPr>
        <w:pStyle w:val="Heading1"/>
        <w:spacing w:after="120" w:before="360"/>
      </w:pPr>
      <w:r>
        <w:rPr>
          <w:rFonts w:ascii="Arial" w:cs="Arial" w:eastAsia="Arial" w:hAnsi="Arial"/>
        </w:rPr>
        <w:t xml:space="preserve">6. Layer 4: TelemetryStore</w:t>
      </w:r>
    </w:p>
    <w:p>
      <w:pPr>
        <w:spacing w:after="160" w:line="276"/>
        <w:jc w:val="both"/>
      </w:pPr>
      <w:r>
        <w:rPr>
          <w:rFonts w:ascii="Arial" w:cs="Arial" w:eastAsia="Arial" w:hAnsi="Arial"/>
          <w:color w:val="2D2D2D"/>
          <w:sz w:val="22"/>
          <w:szCs w:val="22"/>
        </w:rPr>
        <w:t xml:space="preserve">The TelemetryStore provides the persistent truth store for all processed telemetry. Built on SQLite in WAL (Write-Ahead Log) mode, it is optimized for the write-heavy, read-concurrent workload characteristic of endpoint security platforms.</w:t>
      </w:r>
    </w:p>
    <w:p>
      <w:pPr>
        <w:pStyle w:val="Heading2"/>
        <w:spacing w:after="120" w:before="240"/>
      </w:pPr>
      <w:r>
        <w:rPr>
          <w:rFonts w:ascii="Arial" w:cs="Arial" w:eastAsia="Arial" w:hAnsi="Arial"/>
        </w:rPr>
        <w:t xml:space="preserve">6.1 Schema Design</w:t>
      </w:r>
    </w:p>
    <w:p>
      <w:pPr>
        <w:spacing w:after="160" w:line="276"/>
        <w:jc w:val="both"/>
      </w:pPr>
      <w:r>
        <w:rPr>
          <w:rFonts w:ascii="Arial" w:cs="Arial" w:eastAsia="Arial" w:hAnsi="Arial"/>
          <w:color w:val="2D2D2D"/>
          <w:sz w:val="22"/>
          <w:szCs w:val="22"/>
        </w:rPr>
        <w:t xml:space="preserve">The store maintains ten primary tables, each corresponding to a distinct telemetry domain:</w:t>
      </w:r>
    </w:p>
    <w:p>
      <w:pPr>
        <w:spacing w:after="80" w:before="200"/>
        <w:jc w:val="left"/>
      </w:pPr>
      <w:r>
        <w:rPr>
          <w:rFonts w:ascii="Arial" w:cs="Arial" w:eastAsia="Arial" w:hAnsi="Arial"/>
          <w:b/>
          <w:bCs/>
          <w:i/>
          <w:iCs/>
          <w:color w:val="1B2A4A"/>
          <w:sz w:val="20"/>
          <w:szCs w:val="20"/>
        </w:rPr>
        <w:t xml:space="preserve">Table 6. </w:t>
      </w:r>
      <w:r>
        <w:rPr>
          <w:rFonts w:ascii="Arial" w:cs="Arial" w:eastAsia="Arial" w:hAnsi="Arial"/>
          <w:i/>
          <w:iCs/>
          <w:color w:val="5A6B7F"/>
          <w:sz w:val="20"/>
          <w:szCs w:val="20"/>
        </w:rPr>
        <w:t xml:space="preserve">TelemetryStore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69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security_events</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Primary event table; all scored telemetry with enrichment data, classification, and provenance metadata</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process_events</w:t>
            </w:r>
          </w:p>
        </w:tc>
        <w:tc>
          <w:tcPr>
            <w:tcW w:type="dxa" w:w="6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Process-specific telemetry: spawn chains, dylib loads, code signing, environment variables, parent-child relationships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flow_events</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Network flow records: source/destination, bytes, duration, protocol, geo/ASN enrichment, C2 scoring</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fim_events</w:t>
            </w:r>
          </w:p>
        </w:tc>
        <w:tc>
          <w:tcPr>
            <w:tcW w:type="dxa" w:w="6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File integrity monitoring: path, hash before/after, modification type, associated process, quarantine flag status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persistence_events</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Persistence mechanism telemetry: launch daemon/agent state, cron entries, SSH keys, login hooks</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observation_events</w:t>
            </w:r>
          </w:p>
        </w:tc>
        <w:tc>
          <w:tcPr>
            <w:tcW w:type="dxa" w:w="6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supervisor observations: metric snapshots, baseline deviations, signal emissions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peripheral_events</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Peripheral device connections: USB vendor/product IDs, Bluetooth device profiles, Thunderbolt topology</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dns_events</w:t>
            </w:r>
          </w:p>
        </w:tc>
        <w:tc>
          <w:tcPr>
            <w:tcW w:type="dxa" w:w="6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DNS query/response records: queried domain, resolved IPs, query type, response time, DGA score, tunnel probability</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incidents</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Fused incidents: contributing events, MITRE mapping, severity, status (open/acknowledged/resolved), response actions</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signals</w:t>
            </w:r>
          </w:p>
        </w:tc>
        <w:tc>
          <w:tcPr>
            <w:tcW w:type="dxa" w:w="6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governance signals: type, severity, source subsystem, recommended playbook, resolution status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dashboard_rollup</w:t>
            </w:r>
          </w:p>
        </w:tc>
        <w:tc>
          <w:tcPr>
            <w:tcW w:type="dxa" w:w="6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Pre-aggregated statistics for dashboard performance: 5-minute windows, agent-level and system-level summaries</w:t>
            </w:r>
          </w:p>
        </w:tc>
      </w:tr>
    </w:tbl>
    <w:p>
      <w:pPr>
        <w:pStyle w:val="Heading2"/>
        <w:spacing w:after="120" w:before="240"/>
      </w:pPr>
      <w:r>
        <w:rPr>
          <w:rFonts w:ascii="Arial" w:cs="Arial" w:eastAsia="Arial" w:hAnsi="Arial"/>
        </w:rPr>
        <w:t xml:space="preserve">6.2 Performance Optimization</w:t>
      </w:r>
    </w:p>
    <w:p>
      <w:pPr>
        <w:spacing w:after="160" w:line="276"/>
        <w:jc w:val="both"/>
      </w:pPr>
      <w:r>
        <w:rPr>
          <w:rFonts w:ascii="Arial" w:cs="Arial" w:eastAsia="Arial" w:hAnsi="Arial"/>
          <w:color w:val="2D2D2D"/>
          <w:sz w:val="22"/>
          <w:szCs w:val="22"/>
        </w:rPr>
        <w:t xml:space="preserve">The TelemetryStore achieves sub-19ms latency across all dashboard query endpoints through two mechanisms. First, a _ReadPool of 4 read-only SQLite connections provides concurrent read access without blocking the single writer connection. Second, a 5-second TTL cache sits in front of frequently-queried endpoints (agent health, severity distribution, active threats), ensuring that burst dashboard refreshes do not generate redundant database queries.</w:t>
      </w:r>
    </w:p>
    <w:p>
      <w:r>
        <w:br w:type="page"/>
      </w:r>
    </w:p>
    <w:p>
      <w:pPr>
        <w:pStyle w:val="Heading1"/>
        <w:spacing w:after="120" w:before="360"/>
      </w:pPr>
      <w:r>
        <w:rPr>
          <w:rFonts w:ascii="Arial" w:cs="Arial" w:eastAsia="Arial" w:hAnsi="Arial"/>
        </w:rPr>
        <w:t xml:space="preserve">7. Layer 5: FusionEngine</w:t>
      </w:r>
    </w:p>
    <w:p>
      <w:pPr>
        <w:spacing w:after="160" w:line="276"/>
        <w:jc w:val="both"/>
      </w:pPr>
      <w:r>
        <w:rPr>
          <w:rFonts w:ascii="Arial" w:cs="Arial" w:eastAsia="Arial" w:hAnsi="Arial"/>
          <w:color w:val="2D2D2D"/>
          <w:sz w:val="22"/>
          <w:szCs w:val="22"/>
        </w:rPr>
        <w:t xml:space="preserve">The FusionEngine correlates signals from multiple agents and probes to identify compound attack patterns that no single agent could detect in isolation. It operates on the stored telemetry and produces incidents—correlated, deduplicated, severity-assessed threat objects.</w:t>
      </w:r>
    </w:p>
    <w:p>
      <w:pPr>
        <w:pStyle w:val="Heading2"/>
        <w:spacing w:after="120" w:before="240"/>
      </w:pPr>
      <w:r>
        <w:rPr>
          <w:rFonts w:ascii="Arial" w:cs="Arial" w:eastAsia="Arial" w:hAnsi="Arial"/>
        </w:rPr>
        <w:t xml:space="preserve">7.1 Fusion Rules</w:t>
      </w:r>
    </w:p>
    <w:p>
      <w:pPr>
        <w:spacing w:after="160" w:line="276"/>
        <w:jc w:val="both"/>
      </w:pPr>
      <w:r>
        <w:rPr>
          <w:rFonts w:ascii="Arial" w:cs="Arial" w:eastAsia="Arial" w:hAnsi="Arial"/>
          <w:color w:val="2D2D2D"/>
          <w:sz w:val="22"/>
          <w:szCs w:val="22"/>
        </w:rPr>
        <w:t xml:space="preserve">Thirteen fusion rules encode known multi-signal attack patterns:</w:t>
      </w:r>
    </w:p>
    <w:p>
      <w:pPr>
        <w:spacing w:after="80" w:before="200"/>
        <w:jc w:val="left"/>
      </w:pPr>
      <w:r>
        <w:rPr>
          <w:rFonts w:ascii="Arial" w:cs="Arial" w:eastAsia="Arial" w:hAnsi="Arial"/>
          <w:b/>
          <w:bCs/>
          <w:i/>
          <w:iCs/>
          <w:color w:val="1B2A4A"/>
          <w:sz w:val="20"/>
          <w:szCs w:val="20"/>
        </w:rPr>
        <w:t xml:space="preserve">Table 7. </w:t>
      </w:r>
      <w:r>
        <w:rPr>
          <w:rFonts w:ascii="Arial" w:cs="Arial" w:eastAsia="Arial" w:hAnsi="Arial"/>
          <w:i/>
          <w:iCs/>
          <w:color w:val="5A6B7F"/>
          <w:sz w:val="20"/>
          <w:szCs w:val="20"/>
        </w:rPr>
        <w:t xml:space="preserve">FusionEngine Rule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Rule</w:t>
            </w:r>
          </w:p>
        </w:tc>
        <w:tc>
          <w:tcPr>
            <w:tcW w:type="dxa" w:w="65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Correlated Signals</w:t>
            </w:r>
          </w:p>
        </w:tc>
      </w:tr>
      <w:tr>
        <w:tc>
          <w:tcPr>
            <w:tcW w:type="dxa" w:w="2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ssh_brute_force</w:t>
            </w:r>
          </w:p>
        </w:tc>
        <w:tc>
          <w:tcPr>
            <w:tcW w:type="dxa" w:w="6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Auth agent (failed SSH attempts) + Network agent (connection bursts to port 22) + DNS agent (reverse lookup patterns)</w:t>
            </w:r>
          </w:p>
        </w:tc>
      </w:tr>
      <w:tr>
        <w:tc>
          <w:tcPr>
            <w:tcW w:type="dxa" w:w="2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persistence_chain</w:t>
            </w:r>
          </w:p>
        </w:tc>
        <w:tc>
          <w:tcPr>
            <w:tcW w:type="dxa" w:w="6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Process agent (new binary execution) + Persistence agent (LaunchDaemon creation) + FIM agent (plist file write)</w:t>
            </w:r>
          </w:p>
        </w:tc>
      </w:tr>
      <w:tr>
        <w:tc>
          <w:tcPr>
            <w:tcW w:type="dxa" w:w="2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credential_harvest</w:t>
            </w:r>
          </w:p>
        </w:tc>
        <w:tc>
          <w:tcPr>
            <w:tcW w:type="dxa" w:w="6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DBActivity agent (Keychain SQLite access) + InfostealerGuard (browser credential file read) + Network agent (outbound connection)</w:t>
            </w:r>
          </w:p>
        </w:tc>
      </w:tr>
      <w:tr>
        <w:tc>
          <w:tcPr>
            <w:tcW w:type="dxa" w:w="2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kill_chain_multi</w:t>
            </w:r>
          </w:p>
        </w:tc>
        <w:tc>
          <w:tcPr>
            <w:tcW w:type="dxa" w:w="6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Three or more MITRE technique matches for a single PID within a 10-minute window, spanning multiple tactics</w:t>
            </w:r>
          </w:p>
        </w:tc>
      </w:tr>
      <w:tr>
        <w:tc>
          <w:tcPr>
            <w:tcW w:type="dxa" w:w="2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data_exfil_spike</w:t>
            </w:r>
          </w:p>
        </w:tc>
        <w:tc>
          <w:tcPr>
            <w:tcW w:type="dxa" w:w="6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Network agent (outbound volume 3σ above baseline) + Internet agent (cloud storage API calls) + FIM agent (sensitive file reads)</w:t>
            </w:r>
          </w:p>
        </w:tc>
      </w:tr>
      <w:tr>
        <w:tc>
          <w:tcPr>
            <w:tcW w:type="dxa" w:w="2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lateral_movement</w:t>
            </w:r>
          </w:p>
        </w:tc>
        <w:tc>
          <w:tcPr>
            <w:tcW w:type="dxa" w:w="6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Network agent (internal IP scan) + Auth agent (remote authentication) + Process agent (remote execution tool)</w:t>
            </w:r>
          </w:p>
        </w:tc>
      </w:tr>
      <w:tr>
        <w:tc>
          <w:tcPr>
            <w:tcW w:type="dxa" w:w="2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infostealer_chain</w:t>
            </w:r>
          </w:p>
        </w:tc>
        <w:tc>
          <w:tcPr>
            <w:tcW w:type="dxa" w:w="6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InfostealerGuard (credential access) + DBActivity (database reads) + Internet (data upload) within 5-minute window</w:t>
            </w:r>
          </w:p>
        </w:tc>
      </w:tr>
      <w:tr>
        <w:tc>
          <w:tcPr>
            <w:tcW w:type="dxa" w:w="2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high_risk_detect</w:t>
            </w:r>
          </w:p>
        </w:tc>
        <w:tc>
          <w:tcPr>
            <w:tcW w:type="dxa" w:w="6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Any event with score ≥ 0.85 from a nominal-reliability agent, or any event with MITRE tactic T1003 (credential dumping)</w:t>
            </w:r>
          </w:p>
        </w:tc>
      </w:tr>
    </w:tbl>
    <w:p>
      <w:pPr>
        <w:spacing w:after="160" w:line="276"/>
        <w:jc w:val="both"/>
      </w:pPr>
      <w:r>
        <w:rPr>
          <w:rFonts w:ascii="Arial" w:cs="Arial" w:eastAsia="Arial" w:hAnsi="Arial"/>
          <w:color w:val="2D2D2D"/>
          <w:sz w:val="22"/>
          <w:szCs w:val="22"/>
        </w:rPr>
        <w:t xml:space="preserve">(Five additional rules handle edge cases and platform-specific macOS attack patterns not listed for brevity.)</w:t>
      </w:r>
    </w:p>
    <w:p>
      <w:pPr>
        <w:pStyle w:val="Heading2"/>
        <w:spacing w:after="120" w:before="240"/>
      </w:pPr>
      <w:r>
        <w:rPr>
          <w:rFonts w:ascii="Arial" w:cs="Arial" w:eastAsia="Arial" w:hAnsi="Arial"/>
        </w:rPr>
        <w:t xml:space="preserve">7.2 AMRDR: Adaptive Multi-Resolution Detection Reliability</w:t>
      </w:r>
    </w:p>
    <w:p>
      <w:pPr>
        <w:spacing w:after="160" w:line="276"/>
        <w:jc w:val="both"/>
      </w:pPr>
      <w:r>
        <w:rPr>
          <w:rFonts w:ascii="Arial" w:cs="Arial" w:eastAsia="Arial" w:hAnsi="Arial"/>
          <w:color w:val="2D2D2D"/>
          <w:sz w:val="22"/>
          <w:szCs w:val="22"/>
        </w:rPr>
        <w:t xml:space="preserve">The AMRDR framework provides Bayesian reliability tracking for each agent, ensuring that the fusion engine automatically deweights signals from unreliable sources. The core model uses a Beta-Binomial posterior: each agent maintains α (correct detections) and β (false positives or missed detections) parameters, initialized at α=1, β=1 (uniform prior). As incidents are confirmed or refuted, the posterior updates, producing a reliability score R = α/(α+β).</w:t>
      </w:r>
    </w:p>
    <w:p>
      <w:pPr>
        <w:spacing w:after="160" w:line="276"/>
        <w:jc w:val="both"/>
      </w:pPr>
      <w:r>
        <w:rPr>
          <w:rFonts w:ascii="Arial" w:cs="Arial" w:eastAsia="Arial" w:hAnsi="Arial"/>
          <w:color w:val="2D2D2D"/>
          <w:sz w:val="22"/>
          <w:szCs w:val="22"/>
        </w:rPr>
        <w:t xml:space="preserve">Two drift detection algorithms monitor for reliability degradation. ADWIN (Adaptive Windowing) detects distributional shifts in the agent’s error rate, triggering recalibration when a statistically significant change is detected. EDDM (Early Drift Detection Method) provides complementary sensitivity to gradual degradation patterns that ADWIN might miss.</w:t>
      </w:r>
    </w:p>
    <w:p>
      <w:pPr>
        <w:spacing w:after="160" w:line="276"/>
        <w:jc w:val="both"/>
      </w:pPr>
      <w:r>
        <w:rPr>
          <w:rFonts w:ascii="Arial" w:cs="Arial" w:eastAsia="Arial" w:hAnsi="Arial"/>
          <w:color w:val="2D2D2D"/>
          <w:sz w:val="22"/>
          <w:szCs w:val="22"/>
        </w:rPr>
        <w:t xml:space="preserve">Based on the reliability score and drift state, each agent is assigned to one of four tiers:</w:t>
      </w:r>
    </w:p>
    <w:p>
      <w:pPr>
        <w:spacing w:after="80" w:before="200"/>
        <w:jc w:val="left"/>
      </w:pPr>
      <w:r>
        <w:rPr>
          <w:rFonts w:ascii="Arial" w:cs="Arial" w:eastAsia="Arial" w:hAnsi="Arial"/>
          <w:b/>
          <w:bCs/>
          <w:i/>
          <w:iCs/>
          <w:color w:val="1B2A4A"/>
          <w:sz w:val="20"/>
          <w:szCs w:val="20"/>
        </w:rPr>
        <w:t xml:space="preserve">Table 8. </w:t>
      </w:r>
      <w:r>
        <w:rPr>
          <w:rFonts w:ascii="Arial" w:cs="Arial" w:eastAsia="Arial" w:hAnsi="Arial"/>
          <w:i/>
          <w:iCs/>
          <w:color w:val="5A6B7F"/>
          <w:sz w:val="20"/>
          <w:szCs w:val="20"/>
        </w:rPr>
        <w:t xml:space="preserve">AMRDR Agent Reliability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Reliability</w:t>
            </w:r>
          </w:p>
        </w:tc>
        <w:tc>
          <w:tcPr>
            <w:tcW w:type="dxa" w:w="24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Fusion Weight</w:t>
            </w:r>
          </w:p>
        </w:tc>
        <w:tc>
          <w:tcPr>
            <w:tcW w:type="dxa" w:w="35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Nominal</w:t>
            </w:r>
          </w:p>
        </w:tc>
        <w:tc>
          <w:tcPr>
            <w:tcW w:type="dxa" w:w="1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R ≥ 0.7</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1.0 (full)</w:t>
            </w:r>
          </w:p>
        </w:tc>
        <w:tc>
          <w:tcPr>
            <w:tcW w:type="dxa" w:w="3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Normal operation, full contribution to scoring and fusion</w:t>
            </w:r>
          </w:p>
        </w:tc>
      </w:tr>
      <w:tr>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Soft Recalibration</w:t>
            </w:r>
          </w:p>
        </w:tc>
        <w:tc>
          <w:tcPr>
            <w:tcW w:type="dxa" w:w="1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0.5 ≤ R &lt; 0.7</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0.5 (reduced)</w:t>
            </w:r>
          </w:p>
        </w:tc>
        <w:tc>
          <w:tcPr>
            <w:tcW w:type="dxa" w:w="3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Signals flagged for review, IGRIS notified of degradation</w:t>
            </w:r>
          </w:p>
        </w:tc>
      </w:tr>
      <w:tr>
        <w:tc>
          <w:tcPr>
            <w:tcW w:type="dxa" w:w="18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Hard Recalibration</w:t>
            </w:r>
          </w:p>
        </w:tc>
        <w:tc>
          <w:tcPr>
            <w:tcW w:type="dxa" w:w="1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0.3 ≤ R &lt; 0.5</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0.2 (minimal)</w:t>
            </w:r>
          </w:p>
        </w:tc>
        <w:tc>
          <w:tcPr>
            <w:tcW w:type="dxa" w:w="35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 enters supervised mode, outputs require human confirmation</w:t>
            </w:r>
          </w:p>
        </w:tc>
      </w:tr>
      <w:tr>
        <w:tc>
          <w:tcPr>
            <w:tcW w:type="dxa" w:w="18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Quarantine</w:t>
            </w:r>
          </w:p>
        </w:tc>
        <w:tc>
          <w:tcPr>
            <w:tcW w:type="dxa" w:w="1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R &lt; 0.3</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0.0 (excluded)</w:t>
            </w:r>
          </w:p>
        </w:tc>
        <w:tc>
          <w:tcPr>
            <w:tcW w:type="dxa" w:w="35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 excluded from fusion, IGRIS initiates diagnostic playbook</w:t>
            </w:r>
          </w:p>
        </w:tc>
      </w:tr>
    </w:tbl>
    <w:p>
      <w:pPr>
        <w:pStyle w:val="Heading2"/>
        <w:spacing w:after="120" w:before="240"/>
      </w:pPr>
      <w:r>
        <w:rPr>
          <w:rFonts w:ascii="Arial" w:cs="Arial" w:eastAsia="Arial" w:hAnsi="Arial"/>
        </w:rPr>
        <w:t xml:space="preserve">7.3 Kill Chain Tracker</w:t>
      </w:r>
    </w:p>
    <w:p>
      <w:pPr>
        <w:spacing w:after="160" w:line="276"/>
        <w:jc w:val="both"/>
      </w:pPr>
      <w:r>
        <w:rPr>
          <w:rFonts w:ascii="Arial" w:cs="Arial" w:eastAsia="Arial" w:hAnsi="Arial"/>
          <w:color w:val="2D2D2D"/>
          <w:sz w:val="22"/>
          <w:szCs w:val="22"/>
        </w:rPr>
        <w:t xml:space="preserve">The KillChainTracker maintains per-PID state machines mapping observed behaviors to MITRE ATT&amp;CK kill chain stages. It tracks seven stages: Reconnaissance, Weaponization, Delivery, Exploitation, Installation, Command &amp; Control, and Actions on Objectives. When a PID progresses through three or more stages within a configurable time window (default 10 minutes), the tracker emits a KILL_CHAIN_ESCALATION event to the mesh, triggering elevated response from the IGRIS orchestrator.</w:t>
      </w:r>
    </w:p>
    <w:p>
      <w:r>
        <w:br w:type="page"/>
      </w:r>
    </w:p>
    <w:p>
      <w:pPr>
        <w:pStyle w:val="Heading1"/>
        <w:spacing w:after="120" w:before="360"/>
      </w:pPr>
      <w:r>
        <w:rPr>
          <w:rFonts w:ascii="Arial" w:cs="Arial" w:eastAsia="Arial" w:hAnsi="Arial"/>
        </w:rPr>
        <w:t xml:space="preserve">8. Layer 6: SOMA Machine Learning Brain</w:t>
      </w:r>
    </w:p>
    <w:p>
      <w:pPr>
        <w:spacing w:after="160" w:line="276"/>
        <w:jc w:val="both"/>
      </w:pPr>
      <w:r>
        <w:rPr>
          <w:rFonts w:ascii="Arial" w:cs="Arial" w:eastAsia="Arial" w:hAnsi="Arial"/>
          <w:color w:val="2D2D2D"/>
          <w:sz w:val="22"/>
          <w:szCs w:val="22"/>
        </w:rPr>
        <w:t xml:space="preserve">The SOMA (Self-Organizing Machine-learning Architecture) Brain provides the adaptive intelligence layer that enables AMOSKYS to detect novel threats without pre-defined signatures. It comprises four components operating in concert.</w:t>
      </w:r>
    </w:p>
    <w:p>
      <w:pPr>
        <w:pStyle w:val="Heading2"/>
        <w:spacing w:after="120" w:before="240"/>
      </w:pPr>
      <w:r>
        <w:rPr>
          <w:rFonts w:ascii="Arial" w:cs="Arial" w:eastAsia="Arial" w:hAnsi="Arial"/>
        </w:rPr>
        <w:t xml:space="preserve">8.1 IsolationForest: Unsupervised Anomaly Detection</w:t>
      </w:r>
    </w:p>
    <w:p>
      <w:pPr>
        <w:spacing w:after="160" w:line="276"/>
        <w:jc w:val="both"/>
      </w:pPr>
      <w:r>
        <w:rPr>
          <w:rFonts w:ascii="Arial" w:cs="Arial" w:eastAsia="Arial" w:hAnsi="Arial"/>
          <w:color w:val="2D2D2D"/>
          <w:sz w:val="22"/>
          <w:szCs w:val="22"/>
        </w:rPr>
        <w:t xml:space="preserve">The primary detection model is an IsolationForest trained on 31 engineered features extracted from telemetry events. The model operates on the principle that anomalous data points require fewer random partitions to isolate. It produces an anomaly score between −1 (most anomalous) and +1 (most normal), which is normalized to [0, 1] using learned p5/p95 quantile thresholds from the calibration data. The model retrains every 30 minutes on the most recent telemetry window, ensuring adaptation to evolving system behavior patterns.</w:t>
      </w:r>
    </w:p>
    <w:p>
      <w:pPr>
        <w:pStyle w:val="Heading2"/>
        <w:spacing w:after="120" w:before="240"/>
      </w:pPr>
      <w:r>
        <w:rPr>
          <w:rFonts w:ascii="Arial" w:cs="Arial" w:eastAsia="Arial" w:hAnsi="Arial"/>
        </w:rPr>
        <w:t xml:space="preserve">8.2 GradientBoost: Supervised Classification</w:t>
      </w:r>
    </w:p>
    <w:p>
      <w:pPr>
        <w:spacing w:after="160" w:line="276"/>
        <w:jc w:val="both"/>
      </w:pPr>
      <w:r>
        <w:rPr>
          <w:rFonts w:ascii="Arial" w:cs="Arial" w:eastAsia="Arial" w:hAnsi="Arial"/>
          <w:color w:val="2D2D2D"/>
          <w:sz w:val="22"/>
          <w:szCs w:val="22"/>
        </w:rPr>
        <w:t xml:space="preserve">When sufficient labeled data becomes available (minimum 50 confirmed incidents), a Gradient Boosting Classifier is trained as a complementary supervised model. Labels are derived from confirmed incidents via the FusionEngine’s back-labeling mechanism: when an incident is confirmed as a true positive, all contributing events are labeled with label_source=‘incident’. The GradientBoost model provides classification confidence that is blended with the IsolationForest anomaly score, with the supervised model receiving increasing weight as the label corpus grows.</w:t>
      </w:r>
    </w:p>
    <w:p>
      <w:pPr>
        <w:pStyle w:val="Heading2"/>
        <w:spacing w:after="120" w:before="240"/>
      </w:pPr>
      <w:r>
        <w:rPr>
          <w:rFonts w:ascii="Arial" w:cs="Arial" w:eastAsia="Arial" w:hAnsi="Arial"/>
        </w:rPr>
        <w:t xml:space="preserve">8.3 EventEmbedder: Semantic Feature Space</w:t>
      </w:r>
    </w:p>
    <w:p>
      <w:pPr>
        <w:spacing w:after="160" w:line="276"/>
        <w:jc w:val="both"/>
      </w:pPr>
      <w:r>
        <w:rPr>
          <w:rFonts w:ascii="Arial" w:cs="Arial" w:eastAsia="Arial" w:hAnsi="Arial"/>
          <w:color w:val="2D2D2D"/>
          <w:sz w:val="22"/>
          <w:szCs w:val="22"/>
        </w:rPr>
        <w:t xml:space="preserve">The EventEmbedder constructs a 32-dimensional semantic vector space from event co-occurrence patterns using Singular Value Decomposition (SVD). Events that frequently co-occur (e.g., credential file access followed by outbound network connection) are placed nearby in the embedding space. These embeddings serve as input features for both the IsolationForest and GradientBoost models, enabling them to capture sequential attack patterns that individual event features would miss.</w:t>
      </w:r>
    </w:p>
    <w:p>
      <w:pPr>
        <w:pStyle w:val="Heading2"/>
        <w:spacing w:after="120" w:before="240"/>
      </w:pPr>
      <w:r>
        <w:rPr>
          <w:rFonts w:ascii="Arial" w:cs="Arial" w:eastAsia="Arial" w:hAnsi="Arial"/>
        </w:rPr>
        <w:t xml:space="preserve">8.4 AutoCalibrator: False Positive Suppression</w:t>
      </w:r>
    </w:p>
    <w:p>
      <w:pPr>
        <w:spacing w:after="160" w:line="276"/>
        <w:jc w:val="both"/>
      </w:pPr>
      <w:r>
        <w:rPr>
          <w:rFonts w:ascii="Arial" w:cs="Arial" w:eastAsia="Arial" w:hAnsi="Arial"/>
          <w:color w:val="2D2D2D"/>
          <w:sz w:val="22"/>
          <w:szCs w:val="22"/>
        </w:rPr>
        <w:t xml:space="preserve">The AutoCalibrator continuously monitors the SOMA brain’s output for three false positive indicators: oscillation detection (events repeatedly flipping between suspicious and legitimate classifications), frequency decay analysis (alerts that decrease in frequency without response, suggesting benign baseline shift), and never-escalated suspicious events (events classified as suspicious that never contribute to confirmed incidents). The AutoCalibrator applies a maximum of 10 threshold adjustments per training cycle, requires a minimum of 200 evidence events before any adjustment, and operates with conservative damping to prevent overcorrection.</w:t>
      </w:r>
    </w:p>
    <w:p>
      <w:r>
        <w:br w:type="page"/>
      </w:r>
    </w:p>
    <w:p>
      <w:pPr>
        <w:pStyle w:val="Heading1"/>
        <w:spacing w:after="120" w:before="360"/>
      </w:pPr>
      <w:r>
        <w:rPr>
          <w:rFonts w:ascii="Arial" w:cs="Arial" w:eastAsia="Arial" w:hAnsi="Arial"/>
        </w:rPr>
        <w:t xml:space="preserve">9. Layer 7: IGRIS Intelligence</w:t>
      </w:r>
    </w:p>
    <w:p>
      <w:pPr>
        <w:spacing w:after="160" w:line="276"/>
        <w:jc w:val="both"/>
      </w:pPr>
      <w:r>
        <w:rPr>
          <w:rFonts w:ascii="Arial" w:cs="Arial" w:eastAsia="Arial" w:hAnsi="Arial"/>
          <w:color w:val="2D2D2D"/>
          <w:sz w:val="22"/>
          <w:szCs w:val="22"/>
        </w:rPr>
        <w:t xml:space="preserve">IGRIS (Intelligent Governance, Response, and Investigative System) represents the supervisory intelligence layer of AMOSKYS—the autonomous “brain” that monitors system health, detects operational degradation, dispatches remediation playbooks, and provides a conversational interface for human analysts.</w:t>
      </w:r>
    </w:p>
    <w:p>
      <w:pPr>
        <w:pStyle w:val="Heading2"/>
        <w:spacing w:after="120" w:before="240"/>
      </w:pPr>
      <w:r>
        <w:rPr>
          <w:rFonts w:ascii="Arial" w:cs="Arial" w:eastAsia="Arial" w:hAnsi="Arial"/>
        </w:rPr>
        <w:t xml:space="preserve">9.1 Observation Daemon</w:t>
      </w:r>
    </w:p>
    <w:p>
      <w:pPr>
        <w:spacing w:after="160" w:line="276"/>
        <w:jc w:val="both"/>
      </w:pPr>
      <w:r>
        <w:rPr>
          <w:rFonts w:ascii="Arial" w:cs="Arial" w:eastAsia="Arial" w:hAnsi="Arial"/>
          <w:color w:val="2D2D2D"/>
          <w:sz w:val="22"/>
          <w:szCs w:val="22"/>
        </w:rPr>
        <w:t xml:space="preserve">The Observation Daemon runs every 60 seconds, collecting metrics from eight subsystems: fleet (agent health and uptime), transport (EventBus throughput and latency), ingestion (WAL processor drain rates), intelligence (IGRIS response times), amrdr (agent reliability scores), soma (model accuracy and staleness), enrichment (GeoIP/ASN/threat intel coverage), and integrity (hash chain continuity and dead letter rates).</w:t>
      </w:r>
    </w:p>
    <w:p>
      <w:pPr>
        <w:spacing w:after="160" w:line="276"/>
        <w:jc w:val="both"/>
      </w:pPr>
      <w:r>
        <w:rPr>
          <w:rFonts w:ascii="Arial" w:cs="Arial" w:eastAsia="Arial" w:hAnsi="Arial"/>
          <w:color w:val="2D2D2D"/>
          <w:sz w:val="22"/>
          <w:szCs w:val="22"/>
        </w:rPr>
        <w:t xml:space="preserve">A BaselineTracker maintains exponential moving averages (EMA, α=0.1) for each metric, combined with hard threshold rules and standard deviation anomaly detection. When a metric deviates beyond configured thresholds, a SignalEmitter produces one of six governance signal types: STABILITY_WARNING, DRIFT_WARNING, INTEGRITY_WARNING, SUPERVISION_DEFICIT, MODEL_STALENESS, and BACKPRESSURE. Signals carry a 10-minute cooldown to prevent alert fatigue, and auto-clear when the triggering condition resolves.</w:t>
      </w:r>
    </w:p>
    <w:p>
      <w:pPr>
        <w:pStyle w:val="Heading2"/>
        <w:spacing w:after="120" w:before="240"/>
      </w:pPr>
      <w:r>
        <w:rPr>
          <w:rFonts w:ascii="Arial" w:cs="Arial" w:eastAsia="Arial" w:hAnsi="Arial"/>
        </w:rPr>
        <w:t xml:space="preserve">9.2 Playbook Dispatcher</w:t>
      </w:r>
    </w:p>
    <w:p>
      <w:pPr>
        <w:spacing w:after="160" w:line="276"/>
        <w:jc w:val="both"/>
      </w:pPr>
      <w:r>
        <w:rPr>
          <w:rFonts w:ascii="Arial" w:cs="Arial" w:eastAsia="Arial" w:hAnsi="Arial"/>
          <w:color w:val="2D2D2D"/>
          <w:sz w:val="22"/>
          <w:szCs w:val="22"/>
        </w:rPr>
        <w:t xml:space="preserve">Each signal type maps to one or more automated remediation playbooks. Eight playbooks are currently defined: fleet_recovery (restart failed agents), transport_recovery (flush WAL and reset connections), ingestion_investigate (analyze drain rate bottlenecks), backpressure_relief (temporarily reduce collection frequency), reliability_review (trigger AMRDR recalibration for degraded agents), soma_refresh (force early model retrain), enrichment_recovery (reload GeoIP databases and threat intel), and dead_letter_investigation (analyze quarantined events for systematic integrity failures).</w:t>
      </w:r>
    </w:p>
    <w:p>
      <w:pPr>
        <w:pStyle w:val="Heading2"/>
        <w:spacing w:after="120" w:before="240"/>
      </w:pPr>
      <w:r>
        <w:rPr>
          <w:rFonts w:ascii="Arial" w:cs="Arial" w:eastAsia="Arial" w:hAnsi="Arial"/>
        </w:rPr>
        <w:t xml:space="preserve">9.3 IGRIS Chat: LLM-Powered Analyst</w:t>
      </w:r>
    </w:p>
    <w:p>
      <w:pPr>
        <w:spacing w:after="160" w:line="276"/>
        <w:jc w:val="both"/>
      </w:pPr>
      <w:r>
        <w:rPr>
          <w:rFonts w:ascii="Arial" w:cs="Arial" w:eastAsia="Arial" w:hAnsi="Arial"/>
          <w:color w:val="2D2D2D"/>
          <w:sz w:val="22"/>
          <w:szCs w:val="22"/>
        </w:rPr>
        <w:t xml:space="preserve">The IGRIS Chat interface provides a conversational security analyst powered by large language models. It exposes 22 specialized tools that the LLM can invoke to query the telemetry store, analyze incidents, and explain findings:</w:t>
      </w:r>
    </w:p>
    <w:p>
      <w:pPr>
        <w:spacing w:after="80" w:before="200"/>
        <w:jc w:val="left"/>
      </w:pPr>
      <w:r>
        <w:rPr>
          <w:rFonts w:ascii="Arial" w:cs="Arial" w:eastAsia="Arial" w:hAnsi="Arial"/>
          <w:b/>
          <w:bCs/>
          <w:i/>
          <w:iCs/>
          <w:color w:val="1B2A4A"/>
          <w:sz w:val="20"/>
          <w:szCs w:val="20"/>
        </w:rPr>
        <w:t xml:space="preserve">Table 9. </w:t>
      </w:r>
      <w:r>
        <w:rPr>
          <w:rFonts w:ascii="Arial" w:cs="Arial" w:eastAsia="Arial" w:hAnsi="Arial"/>
          <w:i/>
          <w:iCs/>
          <w:color w:val="5A6B7F"/>
          <w:sz w:val="20"/>
          <w:szCs w:val="20"/>
        </w:rPr>
        <w:t xml:space="preserve">IGRIS Chat Tool Inventory (22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w:t>
            </w:r>
          </w:p>
        </w:tc>
        <w:tc>
          <w:tcPr>
            <w:tcW w:type="dxa" w:w="61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get_threat_posture</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System-wide threat assessment with severity distribution and trend analysis</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query_security_events</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Filtered search across all scored telemetry with time range, severity, and classification parameters</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list_incidents / get_incident_detail</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Incident enumeration and deep-dive with contributing events, MITRE mapping, and response timeline</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query_signals</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governance signal history with filter by type, severity, and resolution status</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get_agent_health</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Per-agent status including uptime, event rate, reliability score, and last heartbeat</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query_probes_fired</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Probe activity summary with fire counts, hit rates, and anomaly contribution</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explain_mitre</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MITRE ATT&amp;CK technique explanation with local detection coverage assessment</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query_dns/process/flow/fim</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Domain-specific telemetry queries with enrichment data and correlation context</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query_persistence/auth/peripheral</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Specialized queries for persistence, authentication, and peripheral device events</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get_kill_chain_summary</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Per-PID kill chain progression with stage timestamps and contributing techniques</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get_mitre_coverage</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Heat map of MITRE ATT&amp;CK technique coverage across all probes and fusion rules</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get_reliability_scores</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AMRDR reliability scores with tier assignments and drift detection status</w:t>
            </w:r>
          </w:p>
        </w:tc>
      </w:tr>
      <w:tr>
        <w:tc>
          <w:tcPr>
            <w:tcW w:type="dxa" w:w="32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get_sigma_rule_hits</w:t>
            </w:r>
          </w:p>
        </w:tc>
        <w:tc>
          <w:tcPr>
            <w:tcW w:type="dxa" w:w="61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Sigma rule match history with confidence scores and false positive rates</w:t>
            </w:r>
          </w:p>
        </w:tc>
      </w:tr>
      <w:tr>
        <w:tc>
          <w:tcPr>
            <w:tcW w:type="dxa" w:w="32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get_event_timeline</w:t>
            </w:r>
          </w:p>
        </w:tc>
        <w:tc>
          <w:tcPr>
            <w:tcW w:type="dxa" w:w="61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Chronological event reconstruction for forensic analysis</w:t>
            </w:r>
          </w:p>
        </w:tc>
      </w:tr>
    </w:tbl>
    <w:p>
      <w:pPr>
        <w:spacing w:after="160" w:line="276"/>
        <w:jc w:val="both"/>
      </w:pPr>
      <w:r>
        <w:rPr>
          <w:rFonts w:ascii="Arial" w:cs="Arial" w:eastAsia="Arial" w:hAnsi="Arial"/>
          <w:color w:val="2D2D2D"/>
          <w:sz w:val="22"/>
          <w:szCs w:val="22"/>
        </w:rPr>
        <w:t xml:space="preserve">The LLM backend supports dual operation: a local Ollama instance (default: qwen2.5:14b) for cost-free, privacy-preserving analysis, with an optional toggle to the Claude API for complex reasoning tasks that benefit from a larger context window.</w:t>
      </w:r>
    </w:p>
    <w:p>
      <w:r>
        <w:br w:type="page"/>
      </w:r>
    </w:p>
    <w:p>
      <w:pPr>
        <w:pStyle w:val="Heading1"/>
        <w:spacing w:after="120" w:before="360"/>
      </w:pPr>
      <w:r>
        <w:rPr>
          <w:rFonts w:ascii="Arial" w:cs="Arial" w:eastAsia="Arial" w:hAnsi="Arial"/>
        </w:rPr>
        <w:t xml:space="preserve">10. Layer 8: Presentation Dashboard</w:t>
      </w:r>
    </w:p>
    <w:p>
      <w:pPr>
        <w:spacing w:after="160" w:line="276"/>
        <w:jc w:val="both"/>
      </w:pPr>
      <w:r>
        <w:rPr>
          <w:rFonts w:ascii="Arial" w:cs="Arial" w:eastAsia="Arial" w:hAnsi="Arial"/>
          <w:color w:val="2D2D2D"/>
          <w:sz w:val="22"/>
          <w:szCs w:val="22"/>
        </w:rPr>
        <w:t xml:space="preserve">The Presentation layer provides a web-based command center for human-in-the-loop operations. Built on Flask with Socket.IO for real-time bidirectional communication, it exposes 25+ routes organized into functional modules.</w:t>
      </w:r>
    </w:p>
    <w:p>
      <w:pPr>
        <w:spacing w:after="80" w:before="200"/>
        <w:jc w:val="left"/>
      </w:pPr>
      <w:r>
        <w:rPr>
          <w:rFonts w:ascii="Arial" w:cs="Arial" w:eastAsia="Arial" w:hAnsi="Arial"/>
          <w:b/>
          <w:bCs/>
          <w:i/>
          <w:iCs/>
          <w:color w:val="1B2A4A"/>
          <w:sz w:val="20"/>
          <w:szCs w:val="20"/>
        </w:rPr>
        <w:t xml:space="preserve">Table 10. </w:t>
      </w:r>
      <w:r>
        <w:rPr>
          <w:rFonts w:ascii="Arial" w:cs="Arial" w:eastAsia="Arial" w:hAnsi="Arial"/>
          <w:i/>
          <w:iCs/>
          <w:color w:val="5A6B7F"/>
          <w:sz w:val="20"/>
          <w:szCs w:val="20"/>
        </w:rPr>
        <w:t xml:space="preserve">Dashboard Route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Route</w:t>
            </w:r>
          </w:p>
        </w:tc>
        <w:tc>
          <w:tcPr>
            <w:tcW w:type="dxa" w:w="63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/dashboard/cortex</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Main command center: system-wide threat posture, real-time event stream, severity distribution</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/dashboard/agents</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 fleet management: health status, reliability tiers, probe activity, restart controls</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/dashboard/incidents</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Incident response: timeline, contributing events, MITRE mapping, response actions, status management</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/dashboard/hunt</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Threat hunting: ad-hoc query interface, hypothesis testing, indicator search, forensic reconstruction</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/dashboard/mitre</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MITRE ATT&amp;CK coverage: technique-level heat map, detection gap analysis, rule effectiveness metrics</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/dashboard/correlation</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Fusion correlation view: active rules, match rates, incident contribution, multi-signal visualization</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/dashboard/soma</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SOMA Brain status: model accuracy, training cycle history, feature importance, calibration spread</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/dashboard/igris</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governance: active signals, playbook execution history, subsystem health, LLM interaction log</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/dashboard/reliability</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AMRDR trust scores: per-agent reliability, drift detection status, tier transitions, recalibration history</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/dashboard/guardian</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Guardian C2 terminal: interactive command interface for advanced threat response operations</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/dashboard/posture</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Device security posture: system configuration audit, compliance status, hardening recommendations</w:t>
            </w:r>
          </w:p>
        </w:tc>
      </w:tr>
      <w:tr>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/dashboard/dns</w:t>
            </w:r>
          </w:p>
        </w:tc>
        <w:tc>
          <w:tcPr>
            <w:tcW w:type="dxa" w:w="6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DNS intelligence: query patterns, DGA detection results, tunnel probability, domain reputation</w:t>
            </w:r>
          </w:p>
        </w:tc>
      </w:tr>
      <w:tr>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/dashboard/network</w:t>
            </w:r>
          </w:p>
        </w:tc>
        <w:tc>
          <w:tcPr>
            <w:tcW w:type="dxa" w:w="6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Network topology: active connections, flow visualization, geographic distribution, anomaly highlights</w:t>
            </w:r>
          </w:p>
        </w:tc>
      </w:tr>
    </w:tbl>
    <w:p>
      <w:pPr>
        <w:spacing w:after="160" w:line="276"/>
        <w:jc w:val="both"/>
      </w:pPr>
      <w:r>
        <w:rPr>
          <w:rFonts w:ascii="Arial" w:cs="Arial" w:eastAsia="Arial" w:hAnsi="Arial"/>
          <w:color w:val="2D2D2D"/>
          <w:sz w:val="22"/>
          <w:szCs w:val="22"/>
        </w:rPr>
        <w:t xml:space="preserve">Real-time updates are delivered via Socket.IO WebSocket events (ws:agent_health, ws:agent_alert) with automatic reconnection and buffering. The dashboard enforces require_login middleware for all routes, Content Security Policy headers for XSS prevention, and rate limiting to prevent dashboard-driven denial of service against the telemetry store.</w:t>
      </w:r>
    </w:p>
    <w:p>
      <w:r>
        <w:br w:type="page"/>
      </w:r>
    </w:p>
    <w:p>
      <w:pPr>
        <w:pStyle w:val="Heading1"/>
        <w:spacing w:after="120" w:before="360"/>
      </w:pPr>
      <w:r>
        <w:rPr>
          <w:rFonts w:ascii="Arial" w:cs="Arial" w:eastAsia="Arial" w:hAnsi="Arial"/>
        </w:rPr>
        <w:t xml:space="preserve">11. The Trust Stack</w:t>
      </w:r>
    </w:p>
    <w:p>
      <w:pPr>
        <w:spacing w:after="160" w:line="276"/>
        <w:jc w:val="both"/>
      </w:pPr>
      <w:r>
        <w:rPr>
          <w:rFonts w:ascii="Arial" w:cs="Arial" w:eastAsia="Arial" w:hAnsi="Arial"/>
          <w:color w:val="2D2D2D"/>
          <w:sz w:val="22"/>
          <w:szCs w:val="22"/>
        </w:rPr>
        <w:t xml:space="preserve">A distinguishing feature of AMOSKYS is the Trust Stack: a six-layer hierarchy of validation, verification, and calibration mechanisms that provide formal guarantees on detection quality. Each layer builds on the guarantees provided by the layer below it, creating a cascading trust model from cryptographic primitives through adaptive machine learning.</w:t>
      </w:r>
    </w:p>
    <w:p>
      <w:pPr>
        <w:spacing w:after="80" w:before="200"/>
        <w:jc w:val="left"/>
      </w:pPr>
      <w:r>
        <w:rPr>
          <w:rFonts w:ascii="Arial" w:cs="Arial" w:eastAsia="Arial" w:hAnsi="Arial"/>
          <w:b/>
          <w:bCs/>
          <w:i/>
          <w:iCs/>
          <w:color w:val="1B2A4A"/>
          <w:sz w:val="20"/>
          <w:szCs w:val="20"/>
        </w:rPr>
        <w:t xml:space="preserve">Table 11. </w:t>
      </w:r>
      <w:r>
        <w:rPr>
          <w:rFonts w:ascii="Arial" w:cs="Arial" w:eastAsia="Arial" w:hAnsi="Arial"/>
          <w:i/>
          <w:iCs/>
          <w:color w:val="5A6B7F"/>
          <w:sz w:val="20"/>
          <w:szCs w:val="20"/>
        </w:rPr>
        <w:t xml:space="preserve">The AMOSKYS Trust Stack: Six Layers of Detection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20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67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Guarantee</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6</w:t>
            </w:r>
          </w:p>
        </w:tc>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SOMA AutoCalibrator</w:t>
            </w:r>
          </w:p>
        </w:tc>
        <w:tc>
          <w:tcPr>
            <w:tcW w:type="dxa" w:w="6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Automated false positive suppression via oscillation detection, frequency decay analysis, and never-escalated event tracking. Bounded at maximum 10 adjustments per cycle with 200 minimum evidence events.</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5</w:t>
            </w:r>
          </w:p>
        </w:tc>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AMRDR Reliability</w:t>
            </w:r>
          </w:p>
        </w:tc>
        <w:tc>
          <w:tcPr>
            <w:tcW w:type="dxa" w:w="6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Bayesian agent trust via Beta-Binomial posteriors with ADWIN + EDDM drift detection. Four-tier system (nominal → soft → hard → quarantine) ensuring unreliable agents are automatically deweighted or excluded from fusion.</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4</w:t>
            </w:r>
          </w:p>
        </w:tc>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Fusion Incident Dedup</w:t>
            </w:r>
          </w:p>
        </w:tc>
        <w:tc>
          <w:tcPr>
            <w:tcW w:type="dxa" w:w="6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Merge-or-create logic by (rule, device) fingerprint, preserving all contributing event IDs. Back-labels events with label_source=‘incident’ for supervised model training feedback.</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3</w:t>
            </w:r>
          </w:p>
        </w:tc>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Trust Context</w:t>
            </w:r>
          </w:p>
        </w:tc>
        <w:tc>
          <w:tcPr>
            <w:tcW w:type="dxa" w:w="6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Apple Allowlist (50+ system processes capped at legitimate) and Self-Recognition (own PIDs, IPs, intervals). Eliminates approximately 80% of false positives before scoring.</w:t>
            </w:r>
          </w:p>
        </w:tc>
      </w:tr>
      <w:tr>
        <w:tc>
          <w:tcPr>
            <w:tcW w:type="dxa" w:w="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2</w:t>
            </w:r>
          </w:p>
        </w:tc>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Contract Enforcement</w:t>
            </w:r>
          </w:p>
        </w:tc>
        <w:tc>
          <w:tcPr>
            <w:tcW w:type="dxa" w:w="67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Probe-declared requires_fields and field_semantics validated per event. Three-state output: valid (score), degraded (exclude from training), invalid (drop). Prevents garbage-in-garbage-out.</w:t>
            </w:r>
          </w:p>
        </w:tc>
      </w:tr>
      <w:tr>
        <w:tc>
          <w:tcPr>
            <w:tcW w:type="dxa" w:w="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w:t>
            </w:r>
          </w:p>
        </w:tc>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Integrity Verification</w:t>
            </w:r>
          </w:p>
        </w:tc>
        <w:tc>
          <w:tcPr>
            <w:tcW w:type="dxa" w:w="67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BLAKE2b checksums on every event. Ed25519 per-agent signing. Hash chain (A2.2) for tamper-evident forensic continuity. Dead letter quarantine for failed events.</w:t>
            </w:r>
          </w:p>
        </w:tc>
      </w:tr>
    </w:tbl>
    <w:p>
      <w:pPr>
        <w:spacing w:after="200" w:before="80"/>
        <w:jc w:val="center"/>
      </w:pPr>
      <w:r>
        <w:rPr>
          <w:rFonts w:ascii="Arial" w:cs="Arial" w:eastAsia="Arial" w:hAnsi="Arial"/>
          <w:b/>
          <w:bCs/>
          <w:i/>
          <w:iCs/>
          <w:color w:val="1B2A4A"/>
          <w:sz w:val="20"/>
          <w:szCs w:val="20"/>
        </w:rPr>
        <w:t xml:space="preserve">Figure 3. </w:t>
      </w:r>
      <w:r>
        <w:rPr>
          <w:rFonts w:ascii="Arial" w:cs="Arial" w:eastAsia="Arial" w:hAnsi="Arial"/>
          <w:i/>
          <w:iCs/>
          <w:color w:val="5A6B7F"/>
          <w:sz w:val="20"/>
          <w:szCs w:val="20"/>
        </w:rPr>
        <w:t xml:space="preserve">The Trust Stack: each layer provides guarantees consumed by the layer above</w:t>
      </w:r>
    </w:p>
    <w:p>
      <w:pPr>
        <w:spacing w:after="160" w:line="276"/>
        <w:jc w:val="both"/>
      </w:pPr>
      <w:r>
        <w:rPr>
          <w:rFonts w:ascii="Arial" w:cs="Arial" w:eastAsia="Arial" w:hAnsi="Arial"/>
          <w:color w:val="2D2D2D"/>
          <w:sz w:val="22"/>
          <w:szCs w:val="22"/>
        </w:rPr>
        <w:t xml:space="preserve">The Trust Stack ensures that every detection reported by AMOSKYS carries an auditable provenance trail: from the raw bytes collected by the sensor, through cryptographic verification, contract validation, enrichment, context-aware allowlisting, reliability-weighted fusion, to machine learning calibration. At any point, an analyst can trace a detection backward through the stack to understand exactly what evidence supports it and what confidence adjustments were applied.</w:t>
      </w:r>
    </w:p>
    <w:p>
      <w:r>
        <w:br w:type="page"/>
      </w:r>
    </w:p>
    <w:p>
      <w:pPr>
        <w:pStyle w:val="Heading1"/>
        <w:spacing w:after="120" w:before="360"/>
      </w:pPr>
      <w:r>
        <w:rPr>
          <w:rFonts w:ascii="Arial" w:cs="Arial" w:eastAsia="Arial" w:hAnsi="Arial"/>
        </w:rPr>
        <w:t xml:space="preserve">12. Database Topology</w:t>
      </w:r>
    </w:p>
    <w:p>
      <w:pPr>
        <w:spacing w:after="160" w:line="276"/>
        <w:jc w:val="both"/>
      </w:pPr>
      <w:r>
        <w:rPr>
          <w:rFonts w:ascii="Arial" w:cs="Arial" w:eastAsia="Arial" w:hAnsi="Arial"/>
          <w:color w:val="2D2D2D"/>
          <w:sz w:val="22"/>
          <w:szCs w:val="22"/>
        </w:rPr>
        <w:t xml:space="preserve">AMOSKYS uses a distributed SQLite topology with purpose-specific databases to avoid single-writer contention and provide domain isolation. All databases reside under the data/ directory on the local filesystem.</w:t>
      </w:r>
    </w:p>
    <w:p>
      <w:pPr>
        <w:spacing w:after="80" w:before="200"/>
        <w:jc w:val="left"/>
      </w:pPr>
      <w:r>
        <w:rPr>
          <w:rFonts w:ascii="Arial" w:cs="Arial" w:eastAsia="Arial" w:hAnsi="Arial"/>
          <w:b/>
          <w:bCs/>
          <w:i/>
          <w:iCs/>
          <w:color w:val="1B2A4A"/>
          <w:sz w:val="20"/>
          <w:szCs w:val="20"/>
        </w:rPr>
        <w:t xml:space="preserve">Table 12. </w:t>
      </w:r>
      <w:r>
        <w:rPr>
          <w:rFonts w:ascii="Arial" w:cs="Arial" w:eastAsia="Arial" w:hAnsi="Arial"/>
          <w:i/>
          <w:iCs/>
          <w:color w:val="5A6B7F"/>
          <w:sz w:val="20"/>
          <w:szCs w:val="20"/>
        </w:rPr>
        <w:t xml:space="preserve">Complete Database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Path</w:t>
            </w:r>
          </w:p>
        </w:tc>
        <w:tc>
          <w:tcPr>
            <w:tcW w:type="dxa" w:w="30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Contents</w:t>
            </w:r>
          </w:p>
        </w:tc>
        <w:tc>
          <w:tcPr>
            <w:tcW w:type="dxa" w:w="39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Characteristics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data/telemetry.db</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8 event tables + rollup</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WAL mode, _ReadPool (4 conn), &lt;19ms query, truth store</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data/intel/fusion.db</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Incidents, events, correlation</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Incident dedup state, kill chain trackers, event linkage</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data/intel/reliability.db</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AMRDR agent states</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Beta-Binomial posteriors, drift detection state, tier history</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data/intel/scoring.db</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Score calibration</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Category baselines, weight history, normalization quantiles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data/intel/models/</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7 ML artifacts</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IF/GBC/Embedder joblib, calibration JSON, training history</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data/wal/flowagent.db</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EventBus WAL</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BLAKE2b hash chain, dead letter quarantine, drain cursor</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data/queue/&lt;agent&gt;.db</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Per-agent offline queue</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17 files, FIFO drain on reconnect, Ed25519 signed entries</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data/heartbeats/&lt;agent&gt;.json</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 health signals</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17 files, updated per collection cycle, last-seen timestamps</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data/igris/signals.jsonl</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Governance signal log</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Append-only, rotated at 10MB, structured JSON lines</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data/igris/baselines.json</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EMA-learned baselines</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8 subsystem baselines, updated every 60s observation cycle</w:t>
            </w:r>
          </w:p>
        </w:tc>
      </w:tr>
      <w:tr>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data/igris/state.json</w:t>
            </w:r>
          </w:p>
        </w:tc>
        <w:tc>
          <w:tcPr>
            <w:tcW w:type="dxa" w:w="3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daemon state</w:t>
            </w:r>
          </w:p>
        </w:tc>
        <w:tc>
          <w:tcPr>
            <w:tcW w:type="dxa" w:w="39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Current mode, signal cooldowns, playbook execution state</w:t>
            </w:r>
          </w:p>
        </w:tc>
      </w:tr>
      <w:tr>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data/geoip/GeoLite2-*.mmdb</w:t>
            </w:r>
          </w:p>
        </w:tc>
        <w:tc>
          <w:tcPr>
            <w:tcW w:type="dxa" w:w="3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GeoIP databases</w:t>
            </w:r>
          </w:p>
        </w:tc>
        <w:tc>
          <w:tcPr>
            <w:tcW w:type="dxa" w:w="39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MaxMind City + ASN, updated monthly, memory-mapped access</w:t>
            </w:r>
          </w:p>
        </w:tc>
      </w:tr>
    </w:tbl>
    <w:p>
      <w:pPr>
        <w:spacing w:after="160" w:line="276"/>
        <w:jc w:val="both"/>
      </w:pPr>
      <w:r>
        <w:rPr>
          <w:rFonts w:ascii="Arial" w:cs="Arial" w:eastAsia="Arial" w:hAnsi="Arial"/>
          <w:color w:val="2D2D2D"/>
          <w:sz w:val="22"/>
          <w:szCs w:val="22"/>
        </w:rPr>
        <w:t xml:space="preserve">This topology separates write contention domains: the telemetry store handles high-frequency event writes, the WAL handles transport-level persistence, per-agent queues handle offline buffering, and the intelligence databases handle infrequent but transaction-sensitive model and reliability updates. No two high-frequency writers compete for the same database file.</w:t>
      </w:r>
    </w:p>
    <w:p>
      <w:r>
        <w:br w:type="page"/>
      </w:r>
    </w:p>
    <w:p>
      <w:pPr>
        <w:pStyle w:val="Heading1"/>
        <w:spacing w:after="120" w:before="360"/>
      </w:pPr>
      <w:r>
        <w:rPr>
          <w:rFonts w:ascii="Arial" w:cs="Arial" w:eastAsia="Arial" w:hAnsi="Arial"/>
        </w:rPr>
        <w:t xml:space="preserve">13. Startup Sequence &amp; Operational Lifecycle</w:t>
      </w:r>
    </w:p>
    <w:p>
      <w:pPr>
        <w:spacing w:after="160" w:line="276"/>
        <w:jc w:val="both"/>
      </w:pPr>
      <w:r>
        <w:rPr>
          <w:rFonts w:ascii="Arial" w:cs="Arial" w:eastAsia="Arial" w:hAnsi="Arial"/>
          <w:color w:val="2D2D2D"/>
          <w:sz w:val="22"/>
          <w:szCs w:val="22"/>
        </w:rPr>
        <w:t xml:space="preserve">AMOSKYS follows a deterministic four-phase startup sequence initiated by the amoskys-launch CLI command:</w:t>
      </w:r>
    </w:p>
    <w:p>
      <w:pPr>
        <w:pStyle w:val="Heading2"/>
        <w:spacing w:after="120" w:before="240"/>
      </w:pPr>
      <w:r>
        <w:rPr>
          <w:rFonts w:ascii="Arial" w:cs="Arial" w:eastAsia="Arial" w:hAnsi="Arial"/>
        </w:rPr>
        <w:t xml:space="preserve">13.1 Preflight Checks</w:t>
      </w:r>
    </w:p>
    <w:p>
      <w:pPr>
        <w:spacing w:after="160" w:line="276"/>
        <w:jc w:val="both"/>
      </w:pPr>
      <w:r>
        <w:rPr>
          <w:rFonts w:ascii="Arial" w:cs="Arial" w:eastAsia="Arial" w:hAnsi="Arial"/>
          <w:color w:val="2D2D2D"/>
          <w:sz w:val="22"/>
          <w:szCs w:val="22"/>
        </w:rPr>
        <w:t xml:space="preserve">Before any component starts, the preflight module validates seven preconditions: Python version (≥ 3.11), critical package availability (flask, psutil, protobuf, grpcio), directory structure (11 directories created if missing), port availability (50051 for gRPC, 5003 for dashboard), stale process cleanup (orphaned agents from previous runs), GeoIP database presence (warning if absent; enrichment degrades gracefully), and TLS certificate availability (warning if absent; falls back to unencrypted gRPC).</w:t>
      </w:r>
    </w:p>
    <w:p>
      <w:pPr>
        <w:pStyle w:val="Heading2"/>
        <w:spacing w:after="120" w:before="240"/>
      </w:pPr>
      <w:r>
        <w:rPr>
          <w:rFonts w:ascii="Arial" w:cs="Arial" w:eastAsia="Arial" w:hAnsi="Arial"/>
        </w:rPr>
        <w:t xml:space="preserve">13.2 Phase 1: Infrastructure (Sequential)</w:t>
      </w:r>
    </w:p>
    <w:p>
      <w:pPr>
        <w:spacing w:after="160" w:line="276"/>
        <w:jc w:val="both"/>
      </w:pPr>
      <w:r>
        <w:rPr>
          <w:rFonts w:ascii="Arial" w:cs="Arial" w:eastAsia="Arial" w:hAnsi="Arial"/>
          <w:color w:val="2D2D2D"/>
          <w:sz w:val="22"/>
          <w:szCs w:val="22"/>
        </w:rPr>
        <w:t xml:space="preserve">The EventBus gRPC server starts first on port 50051, with a 15-second timeout for port readiness verification. Once the transport is available, the WAL Processor daemon starts, which also spawns the SOMA Brain’s training daemon thread (30-minute retraining cycle). Sequential startup ensures that no agent publishes telemetry before the transport can accept it.</w:t>
      </w:r>
    </w:p>
    <w:p>
      <w:pPr>
        <w:pStyle w:val="Heading2"/>
        <w:spacing w:after="120" w:before="240"/>
      </w:pPr>
      <w:r>
        <w:rPr>
          <w:rFonts w:ascii="Arial" w:cs="Arial" w:eastAsia="Arial" w:hAnsi="Arial"/>
        </w:rPr>
        <w:t xml:space="preserve">13.3 Phase 2: Agent Fleet (Parallel)</w:t>
      </w:r>
    </w:p>
    <w:p>
      <w:pPr>
        <w:spacing w:after="160" w:line="276"/>
        <w:jc w:val="both"/>
      </w:pPr>
      <w:r>
        <w:rPr>
          <w:rFonts w:ascii="Arial" w:cs="Arial" w:eastAsia="Arial" w:hAnsi="Arial"/>
          <w:color w:val="2D2D2D"/>
          <w:sz w:val="22"/>
          <w:szCs w:val="22"/>
        </w:rPr>
        <w:t xml:space="preserve">All 17 agents launch concurrently via threading. Each agent’s startup sequence is: create or open LocalQueue (SQLite), load or generate Ed25519 keypair, register probes with the collection scheduler, connect to the EventBus, and begin the collection loop. Parallel launch reduces time-to-full-coverage from minutes to approximately 3 seconds.</w:t>
      </w:r>
    </w:p>
    <w:p>
      <w:pPr>
        <w:pStyle w:val="Heading2"/>
        <w:spacing w:after="120" w:before="240"/>
      </w:pPr>
      <w:r>
        <w:rPr>
          <w:rFonts w:ascii="Arial" w:cs="Arial" w:eastAsia="Arial" w:hAnsi="Arial"/>
        </w:rPr>
        <w:t xml:space="preserve">13.4 Phase 3: Dashboard (Optional)</w:t>
      </w:r>
    </w:p>
    <w:p>
      <w:pPr>
        <w:spacing w:after="160" w:line="276"/>
        <w:jc w:val="both"/>
      </w:pPr>
      <w:r>
        <w:rPr>
          <w:rFonts w:ascii="Arial" w:cs="Arial" w:eastAsia="Arial" w:hAnsi="Arial"/>
          <w:color w:val="2D2D2D"/>
          <w:sz w:val="22"/>
          <w:szCs w:val="22"/>
        </w:rPr>
        <w:t xml:space="preserve">The Flask dashboard, Socket.IO integration, IGRIS supervisor, Coordination Bus, and Prometheus exporter (:9102) start as the final phase. This phase is optional—the detection engine operates fully without the dashboard, which is purely a presentation and interaction layer.</w:t>
      </w:r>
    </w:p>
    <w:p>
      <w:r>
        <w:br w:type="page"/>
      </w:r>
    </w:p>
    <w:p>
      <w:pPr>
        <w:pStyle w:val="Heading1"/>
        <w:spacing w:after="120" w:before="360"/>
      </w:pPr>
      <w:r>
        <w:rPr>
          <w:rFonts w:ascii="Arial" w:cs="Arial" w:eastAsia="Arial" w:hAnsi="Arial"/>
        </w:rPr>
        <w:t xml:space="preserve">14. Performance Characteristics</w:t>
      </w:r>
    </w:p>
    <w:p>
      <w:pPr>
        <w:spacing w:after="80" w:before="200"/>
        <w:jc w:val="left"/>
      </w:pPr>
      <w:r>
        <w:rPr>
          <w:rFonts w:ascii="Arial" w:cs="Arial" w:eastAsia="Arial" w:hAnsi="Arial"/>
          <w:b/>
          <w:bCs/>
          <w:i/>
          <w:iCs/>
          <w:color w:val="1B2A4A"/>
          <w:sz w:val="20"/>
          <w:szCs w:val="20"/>
        </w:rPr>
        <w:t xml:space="preserve">Table 13. </w:t>
      </w:r>
      <w:r>
        <w:rPr>
          <w:rFonts w:ascii="Arial" w:cs="Arial" w:eastAsia="Arial" w:hAnsi="Arial"/>
          <w:i/>
          <w:iCs/>
          <w:color w:val="5A6B7F"/>
          <w:sz w:val="20"/>
          <w:szCs w:val="20"/>
        </w:rPr>
        <w:t xml:space="preserve">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4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33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Conditions</w:t>
            </w:r>
          </w:p>
        </w:tc>
      </w:tr>
      <w:tr>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Dashboard query latency</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&lt;19 ms</w:t>
            </w:r>
          </w:p>
        </w:tc>
        <w:tc>
          <w:tcPr>
            <w:tcW w:type="dxa" w:w="3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All endpoints, with _ReadPool + 5s TTL cache</w:t>
            </w:r>
          </w:p>
        </w:tc>
      </w:tr>
      <w:tr>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EventBus throughput</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100 events/s/agent</w:t>
            </w:r>
          </w:p>
        </w:tc>
        <w:tc>
          <w:tcPr>
            <w:tcW w:type="dxa" w:w="3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1,700 total events/s across 17 agents</w:t>
            </w:r>
          </w:p>
        </w:tc>
      </w:tr>
      <w:tr>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WAL drain cycle</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5 seconds</w:t>
            </w:r>
          </w:p>
        </w:tc>
        <w:tc>
          <w:tcPr>
            <w:tcW w:type="dxa" w:w="3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Batch size up to 500 events per cycle</w:t>
            </w:r>
          </w:p>
        </w:tc>
      </w:tr>
      <w:tr>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Group-commit batching</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100 events OR 50ms</w:t>
            </w:r>
          </w:p>
        </w:tc>
        <w:tc>
          <w:tcPr>
            <w:tcW w:type="dxa" w:w="3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Whichever threshold triggers first</w:t>
            </w:r>
          </w:p>
        </w:tc>
      </w:tr>
      <w:tr>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Dedup cache capacity</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50,000 entries</w:t>
            </w:r>
          </w:p>
        </w:tc>
        <w:tc>
          <w:tcPr>
            <w:tcW w:type="dxa" w:w="3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~3.2 MB memory, 300s TTL</w:t>
            </w:r>
          </w:p>
        </w:tc>
      </w:tr>
      <w:tr>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SOMA retrain cycle</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30 minutes</w:t>
            </w:r>
          </w:p>
        </w:tc>
        <w:tc>
          <w:tcPr>
            <w:tcW w:type="dxa" w:w="3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Background daemon thread, non-blocking</w:t>
            </w:r>
          </w:p>
        </w:tc>
      </w:tr>
      <w:tr>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Agent startup (parallel)</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~3 seconds</w:t>
            </w:r>
          </w:p>
        </w:tc>
        <w:tc>
          <w:tcPr>
            <w:tcW w:type="dxa" w:w="3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All 17 agents to full-coverage state</w:t>
            </w:r>
          </w:p>
        </w:tc>
      </w:tr>
      <w:tr>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IGRIS observation cycle</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60 seconds</w:t>
            </w:r>
          </w:p>
        </w:tc>
        <w:tc>
          <w:tcPr>
            <w:tcW w:type="dxa" w:w="3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8 subsystems, ~40 metrics collected</w:t>
            </w:r>
          </w:p>
        </w:tc>
      </w:tr>
      <w:tr>
        <w:tc>
          <w:tcPr>
            <w:tcW w:type="dxa" w:w="36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Signal cooldown</w:t>
            </w:r>
          </w:p>
        </w:tc>
        <w:tc>
          <w:tcPr>
            <w:tcW w:type="dxa" w:w="24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10 minutes</w:t>
            </w:r>
          </w:p>
        </w:tc>
        <w:tc>
          <w:tcPr>
            <w:tcW w:type="dxa" w:w="336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Between same-severity signal repeats</w:t>
            </w:r>
          </w:p>
        </w:tc>
      </w:tr>
      <w:tr>
        <w:tc>
          <w:tcPr>
            <w:tcW w:type="dxa" w:w="36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Inflight concurrency</w:t>
            </w:r>
          </w:p>
        </w:tc>
        <w:tc>
          <w:tcPr>
            <w:tcW w:type="dxa" w:w="24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bCs/>
                <w:i w:val="false"/>
                <w:iCs w:val="false"/>
                <w:color w:val="2D2D2D"/>
                <w:sz w:val="18"/>
                <w:szCs w:val="18"/>
              </w:rPr>
              <w:t xml:space="preserve">100 soft / 500 hard</w:t>
            </w:r>
          </w:p>
        </w:tc>
        <w:tc>
          <w:tcPr>
            <w:tcW w:type="dxa" w:w="336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Backpressure at soft, rejection at hard</w:t>
            </w:r>
          </w:p>
        </w:tc>
      </w:tr>
    </w:tbl>
    <w:p>
      <w:pPr>
        <w:spacing w:after="160" w:line="276"/>
        <w:jc w:val="both"/>
      </w:pPr>
      <w:r>
        <w:rPr>
          <w:rFonts w:ascii="Arial" w:cs="Arial" w:eastAsia="Arial" w:hAnsi="Arial"/>
          <w:color w:val="2D2D2D"/>
          <w:sz w:val="22"/>
          <w:szCs w:val="22"/>
        </w:rPr>
        <w:t xml:space="preserve">The system is designed for sustained operation on consumer-grade macOS hardware. Memory consumption is dominated by the SQLite databases (WAL mode provides efficient memory-mapped access) and the SOMA models (approximately 5 MB total for IsolationForest + GradientBoost + EventEmbedder). CPU utilization during steady-state monitoring is approximately 2–4% on an Apple M-series processor, with brief spikes during SOMA retrain cycles.</w:t>
      </w:r>
    </w:p>
    <w:p>
      <w:r>
        <w:br w:type="page"/>
      </w:r>
    </w:p>
    <w:p>
      <w:pPr>
        <w:pStyle w:val="Heading1"/>
        <w:spacing w:after="120" w:before="360"/>
      </w:pPr>
      <w:r>
        <w:rPr>
          <w:rFonts w:ascii="Arial" w:cs="Arial" w:eastAsia="Arial" w:hAnsi="Arial"/>
        </w:rPr>
        <w:t xml:space="preserve">15. Confidence-Gated Prevention Ladder</w:t>
      </w:r>
    </w:p>
    <w:p>
      <w:pPr>
        <w:spacing w:after="160" w:line="276"/>
        <w:jc w:val="both"/>
      </w:pPr>
      <w:r>
        <w:rPr>
          <w:rFonts w:ascii="Arial" w:cs="Arial" w:eastAsia="Arial" w:hAnsi="Arial"/>
          <w:color w:val="2D2D2D"/>
          <w:sz w:val="22"/>
          <w:szCs w:val="22"/>
        </w:rPr>
        <w:t xml:space="preserve">AMOSKYS implements a graduated response model that maps detection confidence to action authority. This prevents over-reaction on low-confidence signals while ensuring decisive response to high-confidence threats.</w:t>
      </w:r>
    </w:p>
    <w:p>
      <w:pPr>
        <w:spacing w:after="80" w:before="200"/>
        <w:jc w:val="left"/>
      </w:pPr>
      <w:r>
        <w:rPr>
          <w:rFonts w:ascii="Arial" w:cs="Arial" w:eastAsia="Arial" w:hAnsi="Arial"/>
          <w:b/>
          <w:bCs/>
          <w:i/>
          <w:iCs/>
          <w:color w:val="1B2A4A"/>
          <w:sz w:val="20"/>
          <w:szCs w:val="20"/>
        </w:rPr>
        <w:t xml:space="preserve">Table 14. </w:t>
      </w:r>
      <w:r>
        <w:rPr>
          <w:rFonts w:ascii="Arial" w:cs="Arial" w:eastAsia="Arial" w:hAnsi="Arial"/>
          <w:i/>
          <w:iCs/>
          <w:color w:val="5A6B7F"/>
          <w:sz w:val="20"/>
          <w:szCs w:val="20"/>
        </w:rPr>
        <w:t xml:space="preserve">Prevention Ladder: Confidence-to-Action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Confidence</w:t>
            </w:r>
          </w:p>
        </w:tc>
        <w:tc>
          <w:tcPr>
            <w:tcW w:type="dxa" w:w="28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Authorized Actions</w:t>
            </w:r>
          </w:p>
        </w:tc>
        <w:tc>
          <w:tcPr>
            <w:tcW w:type="dxa" w:w="356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1200"/>
            <w:tcBorders>
              <w:top w:val="single" w:color="B8C9DD" w:sz="1"/>
              <w:left w:val="single" w:color="B8C9DD" w:sz="1"/>
              <w:bottom w:val="single" w:color="B8C9DD" w:sz="1"/>
              <w:right w:val="single" w:color="B8C9DD" w:sz="1"/>
            </w:tcBorders>
            <w:shd w:fill="D6EAF8"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Low</w:t>
            </w:r>
          </w:p>
        </w:tc>
        <w:tc>
          <w:tcPr>
            <w:tcW w:type="dxa" w:w="1800"/>
            <w:tcBorders>
              <w:top w:val="single" w:color="B8C9DD" w:sz="1"/>
              <w:left w:val="single" w:color="B8C9DD" w:sz="1"/>
              <w:bottom w:val="single" w:color="B8C9DD" w:sz="1"/>
              <w:right w:val="single" w:color="B8C9DD" w:sz="1"/>
            </w:tcBorders>
            <w:shd w:fill="D6EAF8"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0.3 – 0.5</w:t>
            </w:r>
          </w:p>
        </w:tc>
        <w:tc>
          <w:tcPr>
            <w:tcW w:type="dxa" w:w="2800"/>
            <w:tcBorders>
              <w:top w:val="single" w:color="B8C9DD" w:sz="1"/>
              <w:left w:val="single" w:color="B8C9DD" w:sz="1"/>
              <w:bottom w:val="single" w:color="B8C9DD" w:sz="1"/>
              <w:right w:val="single" w:color="B8C9DD" w:sz="1"/>
            </w:tcBorders>
            <w:shd w:fill="D6EAF8"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Log, Direct Watch, Trigger Collection</w:t>
            </w:r>
          </w:p>
        </w:tc>
        <w:tc>
          <w:tcPr>
            <w:tcW w:type="dxa" w:w="3560"/>
            <w:tcBorders>
              <w:top w:val="single" w:color="B8C9DD" w:sz="1"/>
              <w:left w:val="single" w:color="B8C9DD" w:sz="1"/>
              <w:bottom w:val="single" w:color="B8C9DD" w:sz="1"/>
              <w:right w:val="single" w:color="B8C9DD" w:sz="1"/>
            </w:tcBorders>
            <w:shd w:fill="D6EAF8"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Expand observability; gather more evidence before taking defensive action</w:t>
            </w:r>
          </w:p>
        </w:tc>
      </w:tr>
      <w:tr>
        <w:tc>
          <w:tcPr>
            <w:tcW w:type="dxa" w:w="1200"/>
            <w:tcBorders>
              <w:top w:val="single" w:color="B8C9DD" w:sz="1"/>
              <w:left w:val="single" w:color="B8C9DD" w:sz="1"/>
              <w:bottom w:val="single" w:color="B8C9DD" w:sz="1"/>
              <w:right w:val="single" w:color="B8C9DD" w:sz="1"/>
            </w:tcBorders>
            <w:shd w:fill="D5F5E3"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Medium</w:t>
            </w:r>
          </w:p>
        </w:tc>
        <w:tc>
          <w:tcPr>
            <w:tcW w:type="dxa" w:w="1800"/>
            <w:tcBorders>
              <w:top w:val="single" w:color="B8C9DD" w:sz="1"/>
              <w:left w:val="single" w:color="B8C9DD" w:sz="1"/>
              <w:bottom w:val="single" w:color="B8C9DD" w:sz="1"/>
              <w:right w:val="single" w:color="B8C9DD" w:sz="1"/>
            </w:tcBorders>
            <w:shd w:fill="D5F5E3"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0.5 – 0.7</w:t>
            </w:r>
          </w:p>
        </w:tc>
        <w:tc>
          <w:tcPr>
            <w:tcW w:type="dxa" w:w="2800"/>
            <w:tcBorders>
              <w:top w:val="single" w:color="B8C9DD" w:sz="1"/>
              <w:left w:val="single" w:color="B8C9DD" w:sz="1"/>
              <w:bottom w:val="single" w:color="B8C9DD" w:sz="1"/>
              <w:right w:val="single" w:color="B8C9DD" w:sz="1"/>
            </w:tcBorders>
            <w:shd w:fill="D5F5E3"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Above + Promote Signal, Add Threat Indicator</w:t>
            </w:r>
          </w:p>
        </w:tc>
        <w:tc>
          <w:tcPr>
            <w:tcW w:type="dxa" w:w="3560"/>
            <w:tcBorders>
              <w:top w:val="single" w:color="B8C9DD" w:sz="1"/>
              <w:left w:val="single" w:color="B8C9DD" w:sz="1"/>
              <w:bottom w:val="single" w:color="B8C9DD" w:sz="1"/>
              <w:right w:val="single" w:color="B8C9DD" w:sz="1"/>
            </w:tcBorders>
            <w:shd w:fill="D5F5E3"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Elevate visibility; share intelligence across agents and with IGRIS</w:t>
            </w:r>
          </w:p>
        </w:tc>
      </w:tr>
      <w:tr>
        <w:tc>
          <w:tcPr>
            <w:tcW w:type="dxa" w:w="1200"/>
            <w:tcBorders>
              <w:top w:val="single" w:color="B8C9DD" w:sz="1"/>
              <w:left w:val="single" w:color="B8C9DD" w:sz="1"/>
              <w:bottom w:val="single" w:color="B8C9DD" w:sz="1"/>
              <w:right w:val="single" w:color="B8C9DD" w:sz="1"/>
            </w:tcBorders>
            <w:shd w:fill="FDEBD0"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High</w:t>
            </w:r>
          </w:p>
        </w:tc>
        <w:tc>
          <w:tcPr>
            <w:tcW w:type="dxa" w:w="1800"/>
            <w:tcBorders>
              <w:top w:val="single" w:color="B8C9DD" w:sz="1"/>
              <w:left w:val="single" w:color="B8C9DD" w:sz="1"/>
              <w:bottom w:val="single" w:color="B8C9DD" w:sz="1"/>
              <w:right w:val="single" w:color="B8C9DD" w:sz="1"/>
            </w:tcBorders>
            <w:shd w:fill="FDEBD0"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0.7 – 0.9</w:t>
            </w:r>
          </w:p>
        </w:tc>
        <w:tc>
          <w:tcPr>
            <w:tcW w:type="dxa" w:w="2800"/>
            <w:tcBorders>
              <w:top w:val="single" w:color="B8C9DD" w:sz="1"/>
              <w:left w:val="single" w:color="B8C9DD" w:sz="1"/>
              <w:bottom w:val="single" w:color="B8C9DD" w:sz="1"/>
              <w:right w:val="single" w:color="B8C9DD" w:sz="1"/>
            </w:tcBorders>
            <w:shd w:fill="FDEBD0"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Above + Block IP, Block Domain, Stop/Start Agent</w:t>
            </w:r>
          </w:p>
        </w:tc>
        <w:tc>
          <w:tcPr>
            <w:tcW w:type="dxa" w:w="3560"/>
            <w:tcBorders>
              <w:top w:val="single" w:color="B8C9DD" w:sz="1"/>
              <w:left w:val="single" w:color="B8C9DD" w:sz="1"/>
              <w:bottom w:val="single" w:color="B8C9DD" w:sz="1"/>
              <w:right w:val="single" w:color="B8C9DD" w:sz="1"/>
            </w:tcBorders>
            <w:shd w:fill="FDEBD0"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Active defense; contain network threats and restart degraded agents</w:t>
            </w:r>
          </w:p>
        </w:tc>
      </w:tr>
      <w:tr>
        <w:tc>
          <w:tcPr>
            <w:tcW w:type="dxa" w:w="1200"/>
            <w:tcBorders>
              <w:top w:val="single" w:color="B8C9DD" w:sz="1"/>
              <w:left w:val="single" w:color="B8C9DD" w:sz="1"/>
              <w:bottom w:val="single" w:color="B8C9DD" w:sz="1"/>
              <w:right w:val="single" w:color="B8C9DD" w:sz="1"/>
            </w:tcBorders>
            <w:shd w:fill="FADBD8"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Critical</w:t>
            </w:r>
          </w:p>
        </w:tc>
        <w:tc>
          <w:tcPr>
            <w:tcW w:type="dxa" w:w="1800"/>
            <w:tcBorders>
              <w:top w:val="single" w:color="B8C9DD" w:sz="1"/>
              <w:left w:val="single" w:color="B8C9DD" w:sz="1"/>
              <w:bottom w:val="single" w:color="B8C9DD" w:sz="1"/>
              <w:right w:val="single" w:color="B8C9DD" w:sz="1"/>
            </w:tcBorders>
            <w:shd w:fill="FADBD8"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0.9+</w:t>
            </w:r>
          </w:p>
        </w:tc>
        <w:tc>
          <w:tcPr>
            <w:tcW w:type="dxa" w:w="2800"/>
            <w:tcBorders>
              <w:top w:val="single" w:color="B8C9DD" w:sz="1"/>
              <w:left w:val="single" w:color="B8C9DD" w:sz="1"/>
              <w:bottom w:val="single" w:color="B8C9DD" w:sz="1"/>
              <w:right w:val="single" w:color="B8C9DD" w:sz="1"/>
            </w:tcBorders>
            <w:shd w:fill="FADBD8"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Above + Kill Process, Quarantine Binary</w:t>
            </w:r>
          </w:p>
        </w:tc>
        <w:tc>
          <w:tcPr>
            <w:tcW w:type="dxa" w:w="3560"/>
            <w:tcBorders>
              <w:top w:val="single" w:color="B8C9DD" w:sz="1"/>
              <w:left w:val="single" w:color="B8C9DD" w:sz="1"/>
              <w:bottom w:val="single" w:color="B8C9DD" w:sz="1"/>
              <w:right w:val="single" w:color="B8C9DD" w:sz="1"/>
            </w:tcBorders>
            <w:shd w:fill="FADBD8" w:val="clear"/>
            <w:tcMar>
              <w:top w:type="dxa" w:w="60"/>
              <w:left w:type="dxa" w:w="100"/>
              <w:bottom w:type="dxa" w:w="60"/>
              <w:right w:type="dxa" w:w="100"/>
            </w:tcMar>
            <w:vAlign w:val="center"/>
          </w:tcPr>
          <w:p>
            <w:pPr>
              <w:spacing w:line="276"/>
              <w:jc w:val="left"/>
            </w:pPr>
            <w:r>
              <w:rPr>
                <w:rFonts w:ascii="Arial" w:cs="Arial" w:eastAsia="Arial" w:hAnsi="Arial"/>
                <w:b w:val="false"/>
                <w:bCs w:val="false"/>
                <w:i w:val="false"/>
                <w:iCs w:val="false"/>
                <w:color w:val="2D2D2D"/>
                <w:sz w:val="18"/>
                <w:szCs w:val="18"/>
              </w:rPr>
              <w:t xml:space="preserve">Full response; terminate confirmed threats and isolate malicious binaries</w:t>
            </w:r>
          </w:p>
        </w:tc>
      </w:tr>
    </w:tbl>
    <w:p>
      <w:pPr>
        <w:spacing w:after="160" w:line="276"/>
        <w:jc w:val="both"/>
      </w:pPr>
      <w:r>
        <w:rPr>
          <w:rFonts w:ascii="Arial" w:cs="Arial" w:eastAsia="Arial" w:hAnsi="Arial"/>
          <w:color w:val="2D2D2D"/>
          <w:sz w:val="22"/>
          <w:szCs w:val="22"/>
        </w:rPr>
        <w:t xml:space="preserve">This ladder ensures that the system’s most disruptive actions (process termination, binary quarantine) require the highest confidence thresholds, minimizing the risk of operational disruption from false positive detections. The eleven action tools that implement this ladder are: log, direct_watch, trigger_collection, promote_signal, dismiss_signal, add_threat_indicator, block_ip, block_domain, start_agent, stop_agent, kill_process, and quarantine_binary. Each action produces a signed ActionReceipt for audit trail purposes.</w:t>
      </w:r>
    </w:p>
    <w:p>
      <w:r>
        <w:br w:type="page"/>
      </w:r>
    </w:p>
    <w:p>
      <w:pPr>
        <w:pStyle w:val="Heading1"/>
        <w:spacing w:after="120" w:before="360"/>
      </w:pPr>
      <w:r>
        <w:rPr>
          <w:rFonts w:ascii="Arial" w:cs="Arial" w:eastAsia="Arial" w:hAnsi="Arial"/>
        </w:rPr>
        <w:t xml:space="preserve">16. Comparison with Existing Solutions</w:t>
      </w:r>
    </w:p>
    <w:p>
      <w:pPr>
        <w:spacing w:after="160" w:line="276"/>
        <w:jc w:val="both"/>
      </w:pPr>
      <w:r>
        <w:rPr>
          <w:rFonts w:ascii="Arial" w:cs="Arial" w:eastAsia="Arial" w:hAnsi="Arial"/>
          <w:color w:val="2D2D2D"/>
          <w:sz w:val="22"/>
          <w:szCs w:val="22"/>
        </w:rPr>
        <w:t xml:space="preserve">To contextualize AMOSKYS within the endpoint security landscape, we compare it against three categories of existing solutions across key architectural dimensions.</w:t>
      </w:r>
    </w:p>
    <w:p>
      <w:pPr>
        <w:spacing w:after="80" w:before="200"/>
        <w:jc w:val="left"/>
      </w:pPr>
      <w:r>
        <w:rPr>
          <w:rFonts w:ascii="Arial" w:cs="Arial" w:eastAsia="Arial" w:hAnsi="Arial"/>
          <w:b/>
          <w:bCs/>
          <w:i/>
          <w:iCs/>
          <w:color w:val="1B2A4A"/>
          <w:sz w:val="20"/>
          <w:szCs w:val="20"/>
        </w:rPr>
        <w:t xml:space="preserve">Table 15. </w:t>
      </w:r>
      <w:r>
        <w:rPr>
          <w:rFonts w:ascii="Arial" w:cs="Arial" w:eastAsia="Arial" w:hAnsi="Arial"/>
          <w:i/>
          <w:iCs/>
          <w:color w:val="5A6B7F"/>
          <w:sz w:val="20"/>
          <w:szCs w:val="20"/>
        </w:rPr>
        <w:t xml:space="preserve">Architectural Comparison: AMOSKYS vs. Existing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84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AMOSKYS</w:t>
            </w:r>
          </w:p>
        </w:tc>
        <w:tc>
          <w:tcPr>
            <w:tcW w:type="dxa" w:w="184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Commercial EDR</w:t>
            </w:r>
          </w:p>
        </w:tc>
        <w:tc>
          <w:tcPr>
            <w:tcW w:type="dxa" w:w="184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Open-Source EDR</w:t>
            </w:r>
          </w:p>
        </w:tc>
        <w:tc>
          <w:tcPr>
            <w:tcW w:type="dxa" w:w="1840"/>
            <w:tcBorders>
              <w:top w:val="single" w:color="B8C9DD" w:sz="1"/>
              <w:left w:val="single" w:color="B8C9DD" w:sz="1"/>
              <w:bottom w:val="single" w:color="B8C9DD" w:sz="1"/>
              <w:right w:val="single" w:color="B8C9DD"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macOS Built-in</w:t>
            </w:r>
          </w:p>
        </w:tc>
      </w:tr>
      <w:tr>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Kernel Access</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 (user-space)</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ESF / kext</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Varies</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Full</w:t>
            </w:r>
          </w:p>
        </w:tc>
      </w:tr>
      <w:tr>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ML Integration</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Native (30% weight)</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Bolt-on / cloud</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Minimal</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r>
      <w:tr>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Agent Reliability</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Bayesian (AMRDR)</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N/A</w:t>
            </w:r>
          </w:p>
        </w:tc>
      </w:tr>
      <w:tr>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Threat Intel</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Local + seeded</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Cloud</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Community</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r>
      <w:tr>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LLM Analyst</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Local (Ollama)</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Cloud API</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r>
      <w:tr>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False Positive Mgmt</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6-layer Trust Stack</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Manual tuning</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Manual tuning</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None</w:t>
            </w:r>
          </w:p>
        </w:tc>
      </w:tr>
      <w:tr>
        <w:tc>
          <w:tcPr>
            <w:tcW w:type="dxa" w:w="200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Dependencies</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Python + SQLite</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Cloud infra</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Elastic/Redis</w:t>
            </w:r>
          </w:p>
        </w:tc>
        <w:tc>
          <w:tcPr>
            <w:tcW w:type="dxa" w:w="1840"/>
            <w:tcBorders>
              <w:top w:val="single" w:color="B8C9DD" w:sz="1"/>
              <w:left w:val="single" w:color="B8C9DD" w:sz="1"/>
              <w:bottom w:val="single" w:color="B8C9DD" w:sz="1"/>
              <w:right w:val="single" w:color="B8C9DD" w:sz="1"/>
            </w:tcBorders>
            <w:shd w:fill="F2F6FA"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N/A</w:t>
            </w:r>
          </w:p>
        </w:tc>
      </w:tr>
      <w:tr>
        <w:tc>
          <w:tcPr>
            <w:tcW w:type="dxa" w:w="200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left"/>
            </w:pPr>
            <w:r>
              <w:rPr>
                <w:rFonts w:ascii="Arial" w:cs="Arial" w:eastAsia="Arial" w:hAnsi="Arial"/>
                <w:b/>
                <w:bCs/>
                <w:i w:val="false"/>
                <w:iCs w:val="false"/>
                <w:color w:val="2D2D2D"/>
                <w:sz w:val="18"/>
                <w:szCs w:val="18"/>
              </w:rPr>
              <w:t xml:space="preserve">Maintainability</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Solo-founder feasible</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Large team</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Community</w:t>
            </w:r>
          </w:p>
        </w:tc>
        <w:tc>
          <w:tcPr>
            <w:tcW w:type="dxa" w:w="1840"/>
            <w:tcBorders>
              <w:top w:val="single" w:color="B8C9DD" w:sz="1"/>
              <w:left w:val="single" w:color="B8C9DD" w:sz="1"/>
              <w:bottom w:val="single" w:color="B8C9DD" w:sz="1"/>
              <w:right w:val="single" w:color="B8C9DD" w:sz="1"/>
            </w:tcBorders>
            <w:shd w:fill="FFFFFF" w:val="clear"/>
            <w:tcMar>
              <w:top w:type="dxa" w:w="60"/>
              <w:left w:type="dxa" w:w="100"/>
              <w:bottom w:type="dxa" w:w="60"/>
              <w:right w:type="dxa" w:w="100"/>
            </w:tcMar>
            <w:vAlign w:val="center"/>
          </w:tcPr>
          <w:p>
            <w:pPr>
              <w:spacing w:line="276"/>
              <w:jc w:val="center"/>
            </w:pPr>
            <w:r>
              <w:rPr>
                <w:rFonts w:ascii="Arial" w:cs="Arial" w:eastAsia="Arial" w:hAnsi="Arial"/>
                <w:b w:val="false"/>
                <w:bCs w:val="false"/>
                <w:i w:val="false"/>
                <w:iCs w:val="false"/>
                <w:color w:val="2D2D2D"/>
                <w:sz w:val="18"/>
                <w:szCs w:val="18"/>
              </w:rPr>
              <w:t xml:space="preserve">Apple</w:t>
            </w:r>
          </w:p>
        </w:tc>
      </w:tr>
    </w:tbl>
    <w:p>
      <w:pPr>
        <w:spacing w:after="160" w:line="276"/>
        <w:jc w:val="both"/>
      </w:pPr>
      <w:r>
        <w:rPr>
          <w:rFonts w:ascii="Arial" w:cs="Arial" w:eastAsia="Arial" w:hAnsi="Arial"/>
          <w:color w:val="2D2D2D"/>
          <w:sz w:val="22"/>
          <w:szCs w:val="22"/>
        </w:rPr>
        <w:t xml:space="preserve">AMOSKYS occupies a unique position in the endpoint security design space: it achieves the detection breadth of commercial EDR products and the ML sophistication of cloud-native solutions while maintaining the dependency simplicity of a research prototype. The trade-off is clear: without ESF access, AMOSKYS compensates through probe diversity and ML correlation rather than kernel-level event fidelity.</w:t>
      </w:r>
    </w:p>
    <w:p>
      <w:r>
        <w:br w:type="page"/>
      </w:r>
    </w:p>
    <w:p>
      <w:pPr>
        <w:pStyle w:val="Heading1"/>
        <w:spacing w:after="120" w:before="360"/>
      </w:pPr>
      <w:r>
        <w:rPr>
          <w:rFonts w:ascii="Arial" w:cs="Arial" w:eastAsia="Arial" w:hAnsi="Arial"/>
        </w:rPr>
        <w:t xml:space="preserve">17. Agent Mesh Architecture</w:t>
      </w:r>
    </w:p>
    <w:p>
      <w:pPr>
        <w:spacing w:after="160" w:line="276"/>
        <w:jc w:val="both"/>
      </w:pPr>
      <w:r>
        <w:rPr>
          <w:rFonts w:ascii="Arial" w:cs="Arial" w:eastAsia="Arial" w:hAnsi="Arial"/>
          <w:color w:val="2D2D2D"/>
          <w:sz w:val="22"/>
          <w:szCs w:val="22"/>
        </w:rPr>
        <w:t xml:space="preserve">The Agent Mesh extends AMOSKYS from a traditional pipeline architecture to a collaborative security network where agents communicate laterally in real-time. Inspired by distributed systems research on agent networking, the mesh addresses three observability gaps: agents cannot see what other agents have detected (the “blind” problem), agents cannot raise alarms to peer agents (the “silent” problem), and the orchestrator cannot direct specific agents to take action (the “handless” problem).</w:t>
      </w:r>
    </w:p>
    <w:p>
      <w:pPr>
        <w:pStyle w:val="Heading2"/>
        <w:spacing w:after="120" w:before="240"/>
      </w:pPr>
      <w:r>
        <w:rPr>
          <w:rFonts w:ascii="Arial" w:cs="Arial" w:eastAsia="Arial" w:hAnsi="Arial"/>
        </w:rPr>
        <w:t xml:space="preserve">17.1 Mesh Components</w:t>
      </w:r>
    </w:p>
    <w:p>
      <w:pPr>
        <w:spacing w:after="160" w:line="276"/>
        <w:jc w:val="both"/>
      </w:pPr>
      <w:r>
        <w:rPr>
          <w:rFonts w:ascii="Arial" w:cs="Arial" w:eastAsia="Arial" w:hAnsi="Arial"/>
          <w:color w:val="2D2D2D"/>
          <w:sz w:val="22"/>
          <w:szCs w:val="22"/>
        </w:rPr>
        <w:t xml:space="preserve">The mesh comprises four components. The MeshBus provides in-process pub/sub with SQLite persistence, supporting topic-based and wildcard subscriptions. The MeshMixin is a drop-in mixin for any BaseAgent subclass, adding publish() and on_event() methods with zero overhead when disconnected. The MeshStore provides forensic timeline queries for the IGRIS orchestrator. The ActionExecutor implements 11 confidence-gated tools that the orchestrator can invoke.</w:t>
      </w:r>
    </w:p>
    <w:p>
      <w:pPr>
        <w:pStyle w:val="Heading2"/>
        <w:spacing w:after="120" w:before="240"/>
      </w:pPr>
      <w:r>
        <w:rPr>
          <w:rFonts w:ascii="Arial" w:cs="Arial" w:eastAsia="Arial" w:hAnsi="Arial"/>
        </w:rPr>
        <w:t xml:space="preserve">17.2 Adaptive Polling</w:t>
      </w:r>
    </w:p>
    <w:p>
      <w:pPr>
        <w:spacing w:after="160" w:line="276"/>
        <w:jc w:val="both"/>
      </w:pPr>
      <w:r>
        <w:rPr>
          <w:rFonts w:ascii="Arial" w:cs="Arial" w:eastAsia="Arial" w:hAnsi="Arial"/>
          <w:color w:val="2D2D2D"/>
          <w:sz w:val="22"/>
          <w:szCs w:val="22"/>
        </w:rPr>
        <w:t xml:space="preserve">The mesh implements four operational modes that dynamically adjust all agent polling intervals: Calm (60s default), Alert (15s when medium-severity events detected), Hunt (5s when high-severity events accumulate), and Response (2s during active critical incidents). Mode transitions are broadcast via ADAPTIVE_MODE_CHANGE events, and all mesh-connected agents adjust their collection frequency accordingly.</w:t>
      </w:r>
    </w:p>
    <w:p>
      <w:r>
        <w:br w:type="page"/>
      </w:r>
    </w:p>
    <w:p>
      <w:pPr>
        <w:pStyle w:val="Heading1"/>
        <w:spacing w:after="120" w:before="360"/>
      </w:pPr>
      <w:r>
        <w:rPr>
          <w:rFonts w:ascii="Arial" w:cs="Arial" w:eastAsia="Arial" w:hAnsi="Arial"/>
        </w:rPr>
        <w:t xml:space="preserve">18. Conclusion &amp; Future Directions</w:t>
      </w:r>
    </w:p>
    <w:p>
      <w:pPr>
        <w:spacing w:after="160" w:line="276"/>
        <w:jc w:val="both"/>
      </w:pPr>
      <w:r>
        <w:rPr>
          <w:rFonts w:ascii="Arial" w:cs="Arial" w:eastAsia="Arial" w:hAnsi="Arial"/>
          <w:color w:val="2D2D2D"/>
          <w:sz w:val="22"/>
          <w:szCs w:val="22"/>
        </w:rPr>
        <w:t xml:space="preserve">AMOSKYS demonstrates that a comprehensive, AI-native endpoint security platform for macOS is achievable without kernel extensions, cloud dependencies, or infrastructure complexity. The eight-layer architecture provides clear separation of concerns from raw telemetry collection through intelligent incident response, while the six-layer Trust Stack ensures that detection quality is formally verifiable at every stage.</w:t>
      </w:r>
    </w:p>
    <w:p>
      <w:pPr>
        <w:spacing w:after="160" w:line="276"/>
        <w:jc w:val="both"/>
      </w:pPr>
      <w:r>
        <w:rPr>
          <w:rFonts w:ascii="Arial" w:cs="Arial" w:eastAsia="Arial" w:hAnsi="Arial"/>
          <w:color w:val="2D2D2D"/>
          <w:sz w:val="22"/>
          <w:szCs w:val="22"/>
        </w:rPr>
        <w:t xml:space="preserve">The AMRDR framework provides a novel contribution to detection reliability: rather than treating all agent outputs as equally trustworthy, AMOSKYS maintains Bayesian posterior distributions over agent accuracy, automatically deweighting or excluding unreliable sources. This approach has direct applicability to any multi-sensor fusion system where input quality varies over time.</w:t>
      </w:r>
    </w:p>
    <w:p>
      <w:pPr>
        <w:spacing w:after="160" w:line="276"/>
        <w:jc w:val="both"/>
      </w:pPr>
      <w:r>
        <w:rPr>
          <w:rFonts w:ascii="Arial" w:cs="Arial" w:eastAsia="Arial" w:hAnsi="Arial"/>
          <w:color w:val="2D2D2D"/>
          <w:sz w:val="22"/>
          <w:szCs w:val="22"/>
        </w:rPr>
        <w:t xml:space="preserve">The confidence-gated prevention ladder represents a principled approach to the detection-response trade-off: by mapping detection confidence to action authority through four graduated tiers, AMOSKYS prevents the false-positive-driven operational disruption that plagues more aggressive prevention systems while still enabling decisive response to confirmed threats.</w:t>
      </w:r>
    </w:p>
    <w:p>
      <w:pPr>
        <w:pStyle w:val="Heading2"/>
        <w:spacing w:after="120" w:before="240"/>
      </w:pPr>
      <w:r>
        <w:rPr>
          <w:rFonts w:ascii="Arial" w:cs="Arial" w:eastAsia="Arial" w:hAnsi="Arial"/>
        </w:rPr>
        <w:t xml:space="preserve">18.1 Future Work</w:t>
      </w:r>
    </w:p>
    <w:p>
      <w:pPr>
        <w:spacing w:after="160" w:line="276"/>
        <w:jc w:val="both"/>
      </w:pPr>
      <w:r>
        <w:rPr>
          <w:rFonts w:ascii="Arial" w:cs="Arial" w:eastAsia="Arial" w:hAnsi="Arial"/>
          <w:color w:val="2D2D2D"/>
          <w:sz w:val="22"/>
          <w:szCs w:val="22"/>
        </w:rPr>
        <w:t xml:space="preserve">Several directions extend naturally from the current architecture:</w:t>
      </w:r>
    </w:p>
    <w:p>
      <w:pPr>
        <w:pStyle w:val="ListParagraph"/>
        <w:numPr>
          <w:ilvl w:val="0"/>
          <w:numId w:val="2"/>
        </w:numPr>
        <w:spacing w:after="80" w:line="276"/>
      </w:pPr>
      <w:r>
        <w:rPr>
          <w:rFonts w:ascii="Arial" w:cs="Arial" w:eastAsia="Arial" w:hAnsi="Arial"/>
          <w:color w:val="2D2D2D"/>
          <w:sz w:val="22"/>
          <w:szCs w:val="22"/>
        </w:rPr>
        <w:t xml:space="preserve">Apple Endpoint Security Framework integration via entitled distribution, enabling kernel-level event fidelity alongside existing user-space compensatory observability.</w:t>
      </w:r>
    </w:p>
    <w:p>
      <w:pPr>
        <w:pStyle w:val="ListParagraph"/>
        <w:numPr>
          <w:ilvl w:val="0"/>
          <w:numId w:val="2"/>
        </w:numPr>
        <w:spacing w:after="80" w:line="276"/>
      </w:pPr>
      <w:r>
        <w:rPr>
          <w:rFonts w:ascii="Arial" w:cs="Arial" w:eastAsia="Arial" w:hAnsi="Arial"/>
          <w:color w:val="2D2D2D"/>
          <w:sz w:val="22"/>
          <w:szCs w:val="22"/>
        </w:rPr>
        <w:t xml:space="preserve">Fleet-scale deployment with centralized policy management, enabling AMOSKYS to protect multiple endpoints with shared threat intelligence and coordinated response.</w:t>
      </w:r>
    </w:p>
    <w:p>
      <w:pPr>
        <w:pStyle w:val="ListParagraph"/>
        <w:numPr>
          <w:ilvl w:val="0"/>
          <w:numId w:val="2"/>
        </w:numPr>
        <w:spacing w:after="80" w:line="276"/>
      </w:pPr>
      <w:r>
        <w:rPr>
          <w:rFonts w:ascii="Arial" w:cs="Arial" w:eastAsia="Arial" w:hAnsi="Arial"/>
          <w:color w:val="2D2D2D"/>
          <w:sz w:val="22"/>
          <w:szCs w:val="22"/>
        </w:rPr>
        <w:t xml:space="preserve">Expanded SOMA capabilities including temporal sequence models (LSTM/Transformer) for attack pattern recognition across longer time horizons.</w:t>
      </w:r>
    </w:p>
    <w:p>
      <w:pPr>
        <w:pStyle w:val="ListParagraph"/>
        <w:numPr>
          <w:ilvl w:val="0"/>
          <w:numId w:val="2"/>
        </w:numPr>
        <w:spacing w:after="80" w:line="276"/>
      </w:pPr>
      <w:r>
        <w:rPr>
          <w:rFonts w:ascii="Arial" w:cs="Arial" w:eastAsia="Arial" w:hAnsi="Arial"/>
          <w:color w:val="2D2D2D"/>
          <w:sz w:val="22"/>
          <w:szCs w:val="22"/>
        </w:rPr>
        <w:t xml:space="preserve">Agent mesh evolution toward a fully distributed architecture where AMOSKYS instances on different machines form a security network, sharing detections and coordinating responses across organizational boundaries.</w:t>
      </w:r>
    </w:p>
    <w:p>
      <w:pPr>
        <w:spacing w:before="400"/>
      </w:pPr>
    </w:p>
    <w:p>
      <w:pPr>
        <w:pBdr>
          <w:bottom w:val="single" w:color="B8C9DD" w:sz="2" w:space="1"/>
        </w:pBdr>
        <w:spacing w:after="200" w:before="200"/>
      </w:pPr>
    </w:p>
    <w:p>
      <w:pPr>
        <w:spacing w:before="100"/>
      </w:pPr>
    </w:p>
    <w:p>
      <w:pPr>
        <w:jc w:val="center"/>
      </w:pPr>
      <w:r>
        <w:rPr>
          <w:rFonts w:ascii="Arial" w:cs="Arial" w:eastAsia="Arial" w:hAnsi="Arial"/>
          <w:i/>
          <w:iCs/>
          <w:color w:val="5A6B7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F"/>
        <w:sz w:val="16"/>
        <w:szCs w:val="16"/>
      </w:rPr>
      <w:t xml:space="preserve">Page </w:t>
    </w:r>
    <w:r>
      <w:rPr>
        <w:rFonts w:ascii="Arial" w:cs="Arial" w:eastAsia="Arial" w:hAnsi="Arial"/>
        <w:color w:val="5A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B7F"/>
        <w:sz w:val="16"/>
        <w:szCs w:val="16"/>
      </w:rPr>
      <w:t xml:space="preserve">AMOSKYS Engine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6EA5" w:sz="4" w:space="4"/>
      </w:pBd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6E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2026-03-16T04:30:05.925Z</dcterms:created>
  <dcterms:modified xsi:type="dcterms:W3CDTF">2026-03-16T04:30:05.925Z</dcterms:modified>
</cp:coreProperties>
</file>

<file path=docProps/custom.xml><?xml version="1.0" encoding="utf-8"?>
<Properties xmlns="http://schemas.openxmlformats.org/officeDocument/2006/custom-properties" xmlns:vt="http://schemas.openxmlformats.org/officeDocument/2006/docPropsVTypes"/>
</file>