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BN324 Enterprise Cyber Security and Management</w:t>
      </w:r>
    </w:p>
    <w:p>
      <w:pPr>
        <w:pStyle w:val="Heading1"/>
        <w:jc w:val="center"/>
      </w:pPr>
      <w:r>
        <w:t>Week 5 Workshop/Laboratory – Information Security Governance</w:t>
      </w:r>
    </w:p>
    <w:p/>
    <w:p>
      <w:pPr>
        <w:pStyle w:val="Heading1"/>
      </w:pPr>
      <w:r>
        <w:t>Module 1: Foundations of Information Security Governance</w:t>
      </w:r>
    </w:p>
    <w:p>
      <w:pPr>
        <w:pStyle w:val="Heading2"/>
      </w:pPr>
      <w:r>
        <w:t>Activity 1: Governance vs. Management</w:t>
      </w:r>
    </w:p>
    <w:p>
      <w:r>
        <w:t>Each statement is classified below with a brief explanation based on ISO 27001, NIST CSF, and COBIT 2019.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Answer (Governance or Management?)</w:t>
            </w:r>
          </w:p>
        </w:tc>
      </w:tr>
      <w:tr>
        <w:tc>
          <w:tcPr>
            <w:tcW w:type="dxa" w:w="4320"/>
          </w:tcPr>
          <w:p>
            <w:r>
              <w:t>1. Approves the enterprise information security policy</w:t>
            </w:r>
          </w:p>
        </w:tc>
        <w:tc>
          <w:tcPr>
            <w:tcW w:type="dxa" w:w="4320"/>
          </w:tcPr>
          <w:p>
            <w:r>
              <w:t>Governance – This is a board/executive-level decision that sets the direction and authorises the overall security posture of the organisation (ISO 27001 Clause 5.1; COBIT EDM01).</w:t>
            </w:r>
          </w:p>
        </w:tc>
      </w:tr>
      <w:tr>
        <w:tc>
          <w:tcPr>
            <w:tcW w:type="dxa" w:w="4320"/>
          </w:tcPr>
          <w:p>
            <w:r>
              <w:t>2. Implements firewall rules</w:t>
            </w:r>
          </w:p>
        </w:tc>
        <w:tc>
          <w:tcPr>
            <w:tcW w:type="dxa" w:w="4320"/>
          </w:tcPr>
          <w:p>
            <w:r>
              <w:t>Management – This is a day-to-day operational/technical activity carried out by IT/security staff to enforce security controls (NIST CSF – Protect; ISO 27001 Annex A.13).</w:t>
            </w:r>
          </w:p>
        </w:tc>
      </w:tr>
      <w:tr>
        <w:tc>
          <w:tcPr>
            <w:tcW w:type="dxa" w:w="4320"/>
          </w:tcPr>
          <w:p>
            <w:r>
              <w:t>3. Defines risk appetite</w:t>
            </w:r>
          </w:p>
        </w:tc>
        <w:tc>
          <w:tcPr>
            <w:tcW w:type="dxa" w:w="4320"/>
          </w:tcPr>
          <w:p>
            <w:r>
              <w:t>Governance – Setting the risk appetite is a strategic governance responsibility of senior leadership that guides all risk-related decisions (ISO 27001 Clause 6.1; COBIT EDM03).</w:t>
            </w:r>
          </w:p>
        </w:tc>
      </w:tr>
      <w:tr>
        <w:tc>
          <w:tcPr>
            <w:tcW w:type="dxa" w:w="4320"/>
          </w:tcPr>
          <w:p>
            <w:r>
              <w:t>4. Conducts vulnerability scanning</w:t>
            </w:r>
          </w:p>
        </w:tc>
        <w:tc>
          <w:tcPr>
            <w:tcW w:type="dxa" w:w="4320"/>
          </w:tcPr>
          <w:p>
            <w:r>
              <w:t>Management – This is an operational security task performed by the security team to identify technical weaknesses (NIST CSF – Identify/Detect; ISO 27001 Annex A.12.6).</w:t>
            </w:r>
          </w:p>
        </w:tc>
      </w:tr>
      <w:tr>
        <w:tc>
          <w:tcPr>
            <w:tcW w:type="dxa" w:w="4320"/>
          </w:tcPr>
          <w:p>
            <w:r>
              <w:t>5. Monitors compliance with security KPIs</w:t>
            </w:r>
          </w:p>
        </w:tc>
        <w:tc>
          <w:tcPr>
            <w:tcW w:type="dxa" w:w="4320"/>
          </w:tcPr>
          <w:p>
            <w:r>
              <w:t>Governance – Monitoring KPIs against policy objectives is an oversight function that provides assurance to leadership (ISO 27001 Clause 9.1; COBIT MEA01; NIST CSF – Detect).</w:t>
            </w:r>
          </w:p>
        </w:tc>
      </w:tr>
    </w:tbl>
    <w:p/>
    <w:p>
      <w:pPr>
        <w:pStyle w:val="Heading1"/>
      </w:pPr>
      <w:r>
        <w:t>Module 2: Governance Frameworks</w:t>
      </w:r>
    </w:p>
    <w:p>
      <w:pPr>
        <w:pStyle w:val="Heading2"/>
      </w:pPr>
      <w:r>
        <w:t>Activity 2: Framework Mapping</w:t>
      </w:r>
    </w:p>
    <w:p>
      <w:r>
        <w:t>Each governance activity is mapped to the most relevant component of ISO 27001, NIST CSF, and COBIT 2019.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Governance Activity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ISO 27001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NIST CSF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COBIT 2019</w:t>
            </w:r>
          </w:p>
        </w:tc>
      </w:tr>
      <w:tr>
        <w:tc>
          <w:tcPr>
            <w:tcW w:type="dxa" w:w="2160"/>
          </w:tcPr>
          <w:p>
            <w:r>
              <w:t>Define security roles and responsibilities</w:t>
            </w:r>
          </w:p>
        </w:tc>
        <w:tc>
          <w:tcPr>
            <w:tcW w:type="dxa" w:w="2160"/>
          </w:tcPr>
          <w:p>
            <w:r>
              <w:t>Clause 5.3 &amp; Annex A.6.1 – Organisational roles, responsibilities and authorities</w:t>
            </w:r>
          </w:p>
        </w:tc>
        <w:tc>
          <w:tcPr>
            <w:tcW w:type="dxa" w:w="2160"/>
          </w:tcPr>
          <w:p>
            <w:r>
              <w:t>Identify – Governance (ID.GV): Organisational cybersecurity policies and roles are established</w:t>
            </w:r>
          </w:p>
        </w:tc>
        <w:tc>
          <w:tcPr>
            <w:tcW w:type="dxa" w:w="2160"/>
          </w:tcPr>
          <w:p>
            <w:r>
              <w:t>EDM01 – Ensure Governance Framework Setting and Maintenance</w:t>
            </w:r>
          </w:p>
        </w:tc>
      </w:tr>
      <w:tr>
        <w:tc>
          <w:tcPr>
            <w:tcW w:type="dxa" w:w="2160"/>
          </w:tcPr>
          <w:p>
            <w:r>
              <w:t>Conduct risk assessment</w:t>
            </w:r>
          </w:p>
        </w:tc>
        <w:tc>
          <w:tcPr>
            <w:tcW w:type="dxa" w:w="2160"/>
          </w:tcPr>
          <w:p>
            <w:r>
              <w:t>Clause 6.1.2 – Information security risk assessment</w:t>
            </w:r>
          </w:p>
        </w:tc>
        <w:tc>
          <w:tcPr>
            <w:tcW w:type="dxa" w:w="2160"/>
          </w:tcPr>
          <w:p>
            <w:r>
              <w:t>Identify – Risk Assessment (ID.RA): Asset vulnerabilities, threats and risk responses identified</w:t>
            </w:r>
          </w:p>
        </w:tc>
        <w:tc>
          <w:tcPr>
            <w:tcW w:type="dxa" w:w="2160"/>
          </w:tcPr>
          <w:p>
            <w:r>
              <w:t>APO12 – Manage Risk</w:t>
            </w:r>
          </w:p>
        </w:tc>
      </w:tr>
      <w:tr>
        <w:tc>
          <w:tcPr>
            <w:tcW w:type="dxa" w:w="2160"/>
          </w:tcPr>
          <w:p>
            <w:r>
              <w:t>Monitor security performance</w:t>
            </w:r>
          </w:p>
        </w:tc>
        <w:tc>
          <w:tcPr>
            <w:tcW w:type="dxa" w:w="2160"/>
          </w:tcPr>
          <w:p>
            <w:r>
              <w:t>Clause 9.1 – Monitoring, measurement, analysis and evaluation</w:t>
            </w:r>
          </w:p>
        </w:tc>
        <w:tc>
          <w:tcPr>
            <w:tcW w:type="dxa" w:w="2160"/>
          </w:tcPr>
          <w:p>
            <w:r>
              <w:t>Detect – Security Continuous Monitoring (DE.CM): Networks and assets are monitored</w:t>
            </w:r>
          </w:p>
        </w:tc>
        <w:tc>
          <w:tcPr>
            <w:tcW w:type="dxa" w:w="2160"/>
          </w:tcPr>
          <w:p>
            <w:r>
              <w:t>MEA01 – Monitor, Evaluate and Assess Performance and Conformance</w:t>
            </w:r>
          </w:p>
        </w:tc>
      </w:tr>
      <w:tr>
        <w:tc>
          <w:tcPr>
            <w:tcW w:type="dxa" w:w="2160"/>
          </w:tcPr>
          <w:p>
            <w:r>
              <w:t>Develop incident response plan</w:t>
            </w:r>
          </w:p>
        </w:tc>
        <w:tc>
          <w:tcPr>
            <w:tcW w:type="dxa" w:w="2160"/>
          </w:tcPr>
          <w:p>
            <w:r>
              <w:t>Annex A.16.1 – Management of information security incidents</w:t>
            </w:r>
          </w:p>
        </w:tc>
        <w:tc>
          <w:tcPr>
            <w:tcW w:type="dxa" w:w="2160"/>
          </w:tcPr>
          <w:p>
            <w:r>
              <w:t>Respond – Response Planning (RS.RP): Response processes and procedures are executed</w:t>
            </w:r>
          </w:p>
        </w:tc>
        <w:tc>
          <w:tcPr>
            <w:tcW w:type="dxa" w:w="2160"/>
          </w:tcPr>
          <w:p>
            <w:r>
              <w:t>DSS02 – Manage Service Requests and Incidents</w:t>
            </w:r>
          </w:p>
        </w:tc>
      </w:tr>
    </w:tbl>
    <w:p/>
    <w:p>
      <w:pPr>
        <w:pStyle w:val="Heading2"/>
      </w:pPr>
      <w:r>
        <w:t>References</w:t>
      </w:r>
    </w:p>
    <w:p>
      <w:pPr>
        <w:pStyle w:val="ListBullet"/>
      </w:pPr>
      <w:r>
        <w:t>ISO/IEC 27001:2022 – Information Security Management Systems Requirements.</w:t>
      </w:r>
    </w:p>
    <w:p>
      <w:pPr>
        <w:pStyle w:val="ListBullet"/>
      </w:pPr>
      <w:r>
        <w:t>NIST Cybersecurity Framework v1.1 (2018), National Institute of Standards and Technology.</w:t>
      </w:r>
    </w:p>
    <w:p>
      <w:pPr>
        <w:pStyle w:val="ListBullet"/>
      </w:pPr>
      <w:r>
        <w:t>ISACA, COBIT 2019 Framework: Governance and Management Objectives.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