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BN324 Enterprise Cyber Security and Management</w:t>
      </w:r>
    </w:p>
    <w:p>
      <w:pPr>
        <w:pStyle w:val="Heading1"/>
        <w:jc w:val="center"/>
      </w:pPr>
      <w:r>
        <w:t>Week 7 Laboratory – Major Recent Cybersecurity Incidents in Australia</w:t>
      </w:r>
    </w:p>
    <w:p/>
    <w:p>
      <w:pPr>
        <w:pStyle w:val="Heading1"/>
      </w:pPr>
      <w:r>
        <w:t>Overview of Incidents</w:t>
      </w:r>
    </w:p>
    <w:p>
      <w:pPr>
        <w:pStyle w:val="ListBullet"/>
      </w:pPr>
      <w:r>
        <w:rPr>
          <w:b/>
        </w:rPr>
        <w:t xml:space="preserve">1. Defence Industry Supply Chain Breaches (Late 2025): </w:t>
      </w:r>
      <w:r>
        <w:t>Cyber-attacks on defence contractors exposed sensitive material linked to submarine programs and the $7 billion Redback infantry fighting vehicle contract, highlighting critical vulnerabilities in Australia's defence supply chain.</w:t>
      </w:r>
    </w:p>
    <w:p>
      <w:pPr>
        <w:pStyle w:val="ListBullet"/>
      </w:pPr>
      <w:r>
        <w:rPr>
          <w:b/>
        </w:rPr>
        <w:t xml:space="preserve">2. University of Sydney Data Breach (December 2025): </w:t>
      </w:r>
      <w:r>
        <w:t>Hackers stole personal data of 13,000+ staff, donors and alumni, triggering mandatory breach notifications under the Notifiable Data Breaches (NDB) scheme.</w:t>
      </w:r>
    </w:p>
    <w:p>
      <w:pPr>
        <w:pStyle w:val="ListBullet"/>
      </w:pPr>
      <w:r>
        <w:rPr>
          <w:b/>
        </w:rPr>
        <w:t xml:space="preserve">3. BECKS Jewellery Cyber Incident (December 2025): </w:t>
      </w:r>
      <w:r>
        <w:t>The SafePay ransomware group claimed responsibility for an attack on Australian jeweller BECKS, illustrating the growing ransomware threat to SMBs.</w:t>
      </w:r>
    </w:p>
    <w:p>
      <w:pPr>
        <w:pStyle w:val="ListBullet"/>
      </w:pPr>
      <w:r>
        <w:rPr>
          <w:b/>
        </w:rPr>
        <w:t xml:space="preserve">4. Dodo &amp; iPrimus Customer Data Exposure: </w:t>
      </w:r>
      <w:r>
        <w:t>Personal information of customers was exposed, continuing a trend of escalating attacks on Australian telcos and service providers.</w:t>
      </w:r>
    </w:p>
    <w:p/>
    <w:p>
      <w:pPr>
        <w:pStyle w:val="Heading1"/>
      </w:pPr>
      <w:r>
        <w:t>Question i – What is a Data Breach Response Plan and Why is it Needed?</w:t>
      </w:r>
    </w:p>
    <w:p>
      <w:pPr>
        <w:pStyle w:val="Heading2"/>
      </w:pPr>
      <w:r>
        <w:t>Definition</w:t>
      </w:r>
    </w:p>
    <w:p>
      <w:r>
        <w:t>A Data Breach Response Plan (DBRP) is a documented framework that sets out the roles, responsibilities, and step-by-step actions an organisation will take when a data breach occurs or is suspected. It covers the entire lifecycle of a breach — from initial detection and containment through to assessment, notification, and post-incident review (OAIC, Part 2, 2025).</w:t>
      </w:r>
    </w:p>
    <w:p>
      <w:pPr>
        <w:pStyle w:val="Heading2"/>
      </w:pPr>
      <w:r>
        <w:t>Why You Need It</w:t>
      </w:r>
    </w:p>
    <w:p>
      <w:pPr>
        <w:pStyle w:val="ListBullet"/>
      </w:pPr>
      <w:r>
        <w:rPr>
          <w:b/>
        </w:rPr>
        <w:t xml:space="preserve">Meet legal obligations: </w:t>
      </w:r>
      <w:r>
        <w:t>Under the Privacy Act 1988 (Cth) and the NDB scheme, Australian entities must take reasonable steps to protect personal information and notify affected individuals of eligible breaches. A DBRP demonstrates those reasonable steps.</w:t>
      </w:r>
    </w:p>
    <w:p>
      <w:pPr>
        <w:pStyle w:val="ListBullet"/>
      </w:pPr>
      <w:r>
        <w:rPr>
          <w:b/>
        </w:rPr>
        <w:t xml:space="preserve">Limit harm and costs: </w:t>
      </w:r>
      <w:r>
        <w:t>A fast, coordinated response reduces the likelihood of serious harm to individuals (e.g. identity theft, financial loss) and minimises financial and reputational damage to the organisation.</w:t>
      </w:r>
    </w:p>
    <w:p>
      <w:pPr>
        <w:pStyle w:val="ListBullet"/>
      </w:pPr>
      <w:r>
        <w:rPr>
          <w:b/>
        </w:rPr>
        <w:t xml:space="preserve">Preserve public trust: </w:t>
      </w:r>
      <w:r>
        <w:t>Transparency and timely notification build consumer confidence and show that the organisation handles personal information responsibly.</w:t>
      </w:r>
    </w:p>
    <w:p>
      <w:pPr>
        <w:pStyle w:val="ListBullet"/>
      </w:pPr>
      <w:r>
        <w:rPr>
          <w:b/>
        </w:rPr>
        <w:t xml:space="preserve">Enable rapid action: </w:t>
      </w:r>
      <w:r>
        <w:t>Without a pre-planned response, confusion and delay amplify the impact. A rehearsed plan ensures staff know exactly what to do and who to contact immediately.</w:t>
      </w:r>
    </w:p>
    <w:p>
      <w:r>
        <w:t>In the context of the incidents above, organisations such as the University of Sydney and BECKS Jewellery that had a DBRP in place were better positioned to contain the breach quickly, notify victims, and fulfil their regulatory obligations.</w:t>
      </w:r>
    </w:p>
    <w:p/>
    <w:p>
      <w:pPr>
        <w:pStyle w:val="Heading1"/>
      </w:pPr>
      <w:r>
        <w:t>Question ii – What Information Should the Plan Cover?</w:t>
      </w:r>
    </w:p>
    <w:p>
      <w:r>
        <w:t>Based on OAIC guidance (Part 2, updated February 2025), a comprehensive DBRP should include:</w:t>
      </w:r>
    </w:p>
    <w:p>
      <w:pPr>
        <w:pStyle w:val="ListBullet"/>
      </w:pPr>
      <w:r>
        <w:rPr>
          <w:b/>
        </w:rPr>
        <w:t xml:space="preserve">1. Definition of a Data Breach: </w:t>
      </w:r>
      <w:r>
        <w:t>Clear explanation of what constitutes a data breach and how staff can recognise one (e.g. unauthorised access, accidental disclosure, ransomware).</w:t>
      </w:r>
    </w:p>
    <w:p>
      <w:pPr>
        <w:pStyle w:val="ListBullet"/>
      </w:pPr>
      <w:r>
        <w:rPr>
          <w:b/>
        </w:rPr>
        <w:t xml:space="preserve">2. Containment, Assessment and Management Strategy: </w:t>
      </w:r>
      <w:r>
        <w:t>Step-by-step actions to contain the breach (e.g. isolate affected systems), assess its scope (data types and volume affected), and manage ongoing risks.</w:t>
      </w:r>
    </w:p>
    <w:p>
      <w:pPr>
        <w:pStyle w:val="ListBullet"/>
      </w:pPr>
      <w:r>
        <w:rPr>
          <w:b/>
        </w:rPr>
        <w:t xml:space="preserve">3. Roles and Responsibilities: </w:t>
      </w:r>
      <w:r>
        <w:t>Identify the response team — team leader, project manager, privacy officer, ICT/forensics, legal, HR, media/comms — with clear escalation paths and backup contacts.</w:t>
      </w:r>
    </w:p>
    <w:p>
      <w:pPr>
        <w:pStyle w:val="ListBullet"/>
      </w:pPr>
      <w:r>
        <w:rPr>
          <w:b/>
        </w:rPr>
        <w:t xml:space="preserve">4. Communications Strategy: </w:t>
      </w:r>
      <w:r>
        <w:t>Specify who notifies affected individuals, when (mandatory timelines under NDB scheme), how (email, phone, public notice), and criteria for contacting external bodies such as the OAIC, Australian Cyber Security Centre (ACSC), and law enforcement.</w:t>
      </w:r>
    </w:p>
    <w:p>
      <w:pPr>
        <w:pStyle w:val="ListBullet"/>
      </w:pPr>
      <w:r>
        <w:rPr>
          <w:b/>
        </w:rPr>
        <w:t xml:space="preserve">5. Escalation Procedures: </w:t>
      </w:r>
      <w:r>
        <w:t>Define thresholds for escalating a breach to the response team — e.g. number of affected individuals, risk of serious harm, or systemic failure indicators.</w:t>
      </w:r>
    </w:p>
    <w:p>
      <w:pPr>
        <w:pStyle w:val="ListBullet"/>
      </w:pPr>
      <w:r>
        <w:rPr>
          <w:b/>
        </w:rPr>
        <w:t xml:space="preserve">6. Record-Keeping Policy: </w:t>
      </w:r>
      <w:r>
        <w:t>Document all breaches and suspected breaches, actions taken, and outcomes to support compliance and future reviews.</w:t>
      </w:r>
    </w:p>
    <w:p>
      <w:pPr>
        <w:pStyle w:val="ListBullet"/>
      </w:pPr>
      <w:r>
        <w:rPr>
          <w:b/>
        </w:rPr>
        <w:t xml:space="preserve">7. Post-Breach Review: </w:t>
      </w:r>
      <w:r>
        <w:t>After resolution, assess what went wrong, evaluate response effectiveness, and update data-handling practices and the plan itself.</w:t>
      </w:r>
    </w:p>
    <w:p>
      <w:pPr>
        <w:pStyle w:val="ListBullet"/>
      </w:pPr>
      <w:r>
        <w:rPr>
          <w:b/>
        </w:rPr>
        <w:t xml:space="preserve">8. Integration with Other Plans: </w:t>
      </w:r>
      <w:r>
        <w:t>Link to the disaster recovery plan, cyber security incident response plan, and any insurance policy requirements for data breaches.</w:t>
      </w:r>
    </w:p>
    <w:p>
      <w:pPr>
        <w:pStyle w:val="ListBullet"/>
      </w:pPr>
      <w:r>
        <w:rPr>
          <w:b/>
        </w:rPr>
        <w:t xml:space="preserve">9. Regular Testing: </w:t>
      </w:r>
      <w:r>
        <w:t>Conduct tabletop exercises (e.g. simulated ransomware attack) to ensure staff understand their roles and the plan remains current.</w:t>
      </w:r>
    </w:p>
    <w:p/>
    <w:p>
      <w:pPr>
        <w:pStyle w:val="Heading1"/>
      </w:pPr>
      <w:r>
        <w:t>Question iii – Practical, High-Impact Cybersecurity Risk Reduction Tips</w:t>
      </w:r>
    </w:p>
    <w:p>
      <w:r>
        <w:t>The following tips are tailored to the Australian context and directly informed by the incident types described above.</w:t>
      </w:r>
    </w:p>
    <w:p>
      <w:pPr>
        <w:pStyle w:val="Heading2"/>
      </w:pPr>
      <w:r>
        <w:t>For Individuals</w:t>
      </w:r>
    </w:p>
    <w:p>
      <w:pPr>
        <w:pStyle w:val="ListBullet"/>
      </w:pPr>
      <w:r>
        <w:rPr>
          <w:b/>
        </w:rPr>
        <w:t xml:space="preserve">Use Multi-Factor Authentication (MFA): </w:t>
      </w:r>
      <w:r>
        <w:t>Enable MFA on all accounts — especially email, banking and government services (myGov). This prevents account takeover even if passwords are stolen.</w:t>
      </w:r>
    </w:p>
    <w:p>
      <w:pPr>
        <w:pStyle w:val="ListBullet"/>
      </w:pPr>
      <w:r>
        <w:rPr>
          <w:b/>
        </w:rPr>
        <w:t xml:space="preserve">Use strong, unique passwords: </w:t>
      </w:r>
      <w:r>
        <w:t>Use a password manager (e.g. Bitwarden, 1Password) to generate and store unique passwords. Reused passwords amplify breach damage across services.</w:t>
      </w:r>
    </w:p>
    <w:p>
      <w:pPr>
        <w:pStyle w:val="ListBullet"/>
      </w:pPr>
      <w:r>
        <w:rPr>
          <w:b/>
        </w:rPr>
        <w:t xml:space="preserve">Monitor for breaches: </w:t>
      </w:r>
      <w:r>
        <w:t>Register with services like Have I Been Pwned (haveibeenpwned.com) to receive alerts if your email appears in a data breach.</w:t>
      </w:r>
    </w:p>
    <w:p>
      <w:pPr>
        <w:pStyle w:val="ListBullet"/>
      </w:pPr>
      <w:r>
        <w:rPr>
          <w:b/>
        </w:rPr>
        <w:t xml:space="preserve">Be phishing-aware: </w:t>
      </w:r>
      <w:r>
        <w:t>Verify unexpected emails, SMS, or calls claiming to be from banks, telcos (e.g. Dodo) or government agencies before clicking links or providing information.</w:t>
      </w:r>
    </w:p>
    <w:p>
      <w:pPr>
        <w:pStyle w:val="ListBullet"/>
      </w:pPr>
      <w:r>
        <w:rPr>
          <w:b/>
        </w:rPr>
        <w:t xml:space="preserve">Keep devices updated: </w:t>
      </w:r>
      <w:r>
        <w:t>Apply operating system and application updates promptly — most attacks exploit known vulnerabilities with available patches.</w:t>
      </w:r>
    </w:p>
    <w:p>
      <w:pPr>
        <w:pStyle w:val="ListBullet"/>
      </w:pPr>
      <w:r>
        <w:rPr>
          <w:b/>
        </w:rPr>
        <w:t xml:space="preserve">Back up important data: </w:t>
      </w:r>
      <w:r>
        <w:t>Maintain offline or cloud backups of important files. Ransomware (as seen with BECKS) cannot encrypt data it cannot reach.</w:t>
      </w:r>
    </w:p>
    <w:p>
      <w:pPr>
        <w:pStyle w:val="Heading2"/>
      </w:pPr>
      <w:r>
        <w:t>For Businesses</w:t>
      </w:r>
    </w:p>
    <w:p>
      <w:pPr>
        <w:pStyle w:val="ListBullet"/>
      </w:pPr>
      <w:r>
        <w:rPr>
          <w:b/>
        </w:rPr>
        <w:t xml:space="preserve">Develop and test a Data Breach Response Plan: </w:t>
      </w:r>
      <w:r>
        <w:t>As detailed above — all Australian businesses holding personal information should have a documented, tested DBRP aligned with the Privacy Act and NDB scheme.</w:t>
      </w:r>
    </w:p>
    <w:p>
      <w:pPr>
        <w:pStyle w:val="ListBullet"/>
      </w:pPr>
      <w:r>
        <w:rPr>
          <w:b/>
        </w:rPr>
        <w:t xml:space="preserve">Apply the Essential Eight: </w:t>
      </w:r>
      <w:r>
        <w:t>Follow the ACSC's Essential Eight mitigation strategies: patch applications, patch operating systems, restrict administrative privileges, enable MFA, application control, configure Microsoft Office macros, user application hardening, and regular backups.</w:t>
      </w:r>
    </w:p>
    <w:p>
      <w:pPr>
        <w:pStyle w:val="ListBullet"/>
      </w:pPr>
      <w:r>
        <w:rPr>
          <w:b/>
        </w:rPr>
        <w:t xml:space="preserve">Conduct regular risk assessments: </w:t>
      </w:r>
      <w:r>
        <w:t>Identify and prioritise assets, threats and vulnerabilities — particularly in the supply chain (as demonstrated by the Defence contractor breaches).</w:t>
      </w:r>
    </w:p>
    <w:p>
      <w:pPr>
        <w:pStyle w:val="ListBullet"/>
      </w:pPr>
      <w:r>
        <w:rPr>
          <w:b/>
        </w:rPr>
        <w:t xml:space="preserve">Segment networks and restrict access: </w:t>
      </w:r>
      <w:r>
        <w:t>Apply least-privilege access controls and network segmentation to contain breaches and prevent lateral movement by attackers.</w:t>
      </w:r>
    </w:p>
    <w:p>
      <w:pPr>
        <w:pStyle w:val="ListBullet"/>
      </w:pPr>
      <w:r>
        <w:rPr>
          <w:b/>
        </w:rPr>
        <w:t xml:space="preserve">Train staff regularly: </w:t>
      </w:r>
      <w:r>
        <w:t>Human error is a leading cause of breaches. Run phishing simulations and awareness training at least annually.</w:t>
      </w:r>
    </w:p>
    <w:p>
      <w:pPr>
        <w:pStyle w:val="ListBullet"/>
      </w:pPr>
      <w:r>
        <w:rPr>
          <w:b/>
        </w:rPr>
        <w:t xml:space="preserve">Engage with the ACSC: </w:t>
      </w:r>
      <w:r>
        <w:t>Report incidents to the Australian Cyber Security Centre (cyber.gov.au) and leverage free resources, alerts and threat intelligence available to Australian organisations.</w:t>
      </w:r>
    </w:p>
    <w:p>
      <w:pPr>
        <w:pStyle w:val="ListBullet"/>
      </w:pPr>
      <w:r>
        <w:rPr>
          <w:b/>
        </w:rPr>
        <w:t xml:space="preserve">Review third-party and supply chain risk: </w:t>
      </w:r>
      <w:r>
        <w:t>Audit the security practices of vendors and contractors — the Defence supply chain breaches show that attackers target the weakest link in the chain.</w:t>
      </w:r>
    </w:p>
    <w:p>
      <w:pPr>
        <w:pStyle w:val="ListBullet"/>
      </w:pPr>
      <w:r>
        <w:rPr>
          <w:b/>
        </w:rPr>
        <w:t xml:space="preserve">Implement ransomware-specific controls: </w:t>
      </w:r>
      <w:r>
        <w:t>Maintain tested offline backups, disable unnecessary remote access, and deploy endpoint detection and response (EDR) tools to detect ransomware early (relevant to the BECKS Jewellery incident).</w:t>
      </w:r>
    </w:p>
    <w:p/>
    <w:p>
      <w:pPr>
        <w:pStyle w:val="Heading1"/>
      </w:pPr>
      <w:r>
        <w:t>References</w:t>
      </w:r>
    </w:p>
    <w:p>
      <w:pPr>
        <w:pStyle w:val="ListBullet"/>
      </w:pPr>
      <w:r>
        <w:t>Office of the Australian Information Commissioner (OAIC) (2025). Part 2: Preparing a data breach response plan. https://www.oaic.gov.au/privacy/guidance-and-advice/data-breach-preparation-and-response/part-2-preparing-a-data-breach-response-plan</w:t>
      </w:r>
    </w:p>
    <w:p>
      <w:pPr>
        <w:pStyle w:val="ListBullet"/>
      </w:pPr>
      <w:r>
        <w:t>Australian Cyber Security Centre (ACSC). Essential Eight Explained. https://www.cyber.gov.au</w:t>
      </w:r>
    </w:p>
    <w:p>
      <w:pPr>
        <w:pStyle w:val="ListBullet"/>
      </w:pPr>
      <w:r>
        <w:t>Privacy Act 1988 (Cth) — Notifiable Data Breaches (NDB) scheme, Part IIIC.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