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BN324 Enterprise Cyber Security and Management</w:t>
      </w:r>
    </w:p>
    <w:p>
      <w:pPr>
        <w:pStyle w:val="Heading1"/>
        <w:jc w:val="center"/>
      </w:pPr>
      <w:r>
        <w:t>Week 8 Laboratory – NIST AI RMF and Australia's AI Ethics Principles</w:t>
      </w:r>
    </w:p>
    <w:p/>
    <w:p>
      <w:pPr>
        <w:pStyle w:val="Heading1"/>
      </w:pPr>
      <w:r>
        <w:t>Task 1 – NIST AI 100-1: AI Risk Management Framework</w:t>
      </w:r>
    </w:p>
    <w:p>
      <w:pPr>
        <w:pStyle w:val="Heading2"/>
      </w:pPr>
      <w:r>
        <w:t>1. Common Elements of AI Governance</w:t>
      </w:r>
    </w:p>
    <w:p>
      <w:r>
        <w:t>AI Governance is the set of policies, processes, roles and controls that organisations put in place to ensure AI systems are developed and used responsibly, safely and in alignment with legal and ethical standards. The key common elements are:</w:t>
      </w:r>
    </w:p>
    <w:p>
      <w:pPr>
        <w:pStyle w:val="ListBullet"/>
      </w:pPr>
      <w:r>
        <w:rPr>
          <w:b/>
        </w:rPr>
        <w:t xml:space="preserve">Policies and Standards: </w:t>
      </w:r>
      <w:r>
        <w:t>Documented rules that define acceptable use, design constraints, and compliance requirements for AI systems (e.g. data-use policies, model-approval checklists). They translate organisational values into enforceable guidelines.</w:t>
      </w:r>
    </w:p>
    <w:p>
      <w:pPr>
        <w:pStyle w:val="ListBullet"/>
      </w:pPr>
      <w:r>
        <w:rPr>
          <w:b/>
        </w:rPr>
        <w:t xml:space="preserve">Roles and Accountability: </w:t>
      </w:r>
      <w:r>
        <w:t>Clear assignment of responsibility across the AI lifecycle — developers, deployers, risk officers, and executive sponsors. Accountability structures ensure that someone is answerable for every decision the AI system makes or influences.</w:t>
      </w:r>
    </w:p>
    <w:p>
      <w:pPr>
        <w:pStyle w:val="ListBullet"/>
      </w:pPr>
      <w:r>
        <w:rPr>
          <w:b/>
        </w:rPr>
        <w:t xml:space="preserve">Risk Management: </w:t>
      </w:r>
      <w:r>
        <w:t>Systematic identification, assessment, and mitigation of risks arising from AI systems — including bias, security vulnerabilities, privacy breaches, and unintended consequences. This maps directly to the NIST AI RMF core functions.</w:t>
      </w:r>
    </w:p>
    <w:p>
      <w:pPr>
        <w:pStyle w:val="ListBullet"/>
      </w:pPr>
      <w:r>
        <w:rPr>
          <w:b/>
        </w:rPr>
        <w:t xml:space="preserve">Transparency and Explainability: </w:t>
      </w:r>
      <w:r>
        <w:t>Mechanisms that allow stakeholders to understand how an AI system works, why it makes certain decisions, and what data it relies on. This supports trust and enables challenge and audit.</w:t>
      </w:r>
    </w:p>
    <w:p>
      <w:pPr>
        <w:pStyle w:val="ListBullet"/>
      </w:pPr>
      <w:r>
        <w:rPr>
          <w:b/>
        </w:rPr>
        <w:t xml:space="preserve">Fairness and Non-Discrimination: </w:t>
      </w:r>
      <w:r>
        <w:t>Processes to detect and reduce bias in training data, model outputs, and deployment contexts so that AI does not produce discriminatory outcomes against individuals or groups.</w:t>
      </w:r>
    </w:p>
    <w:p>
      <w:pPr>
        <w:pStyle w:val="ListBullet"/>
      </w:pPr>
      <w:r>
        <w:rPr>
          <w:b/>
        </w:rPr>
        <w:t xml:space="preserve">Privacy and Data Protection: </w:t>
      </w:r>
      <w:r>
        <w:t>Controls governing data collection, storage, processing and retention in compliance with applicable privacy laws (e.g. Australia's Privacy Act 1988). Privacy impact assessments are a common tool.</w:t>
      </w:r>
    </w:p>
    <w:p>
      <w:pPr>
        <w:pStyle w:val="ListBullet"/>
      </w:pPr>
      <w:r>
        <w:rPr>
          <w:b/>
        </w:rPr>
        <w:t xml:space="preserve">Monitoring and Audit: </w:t>
      </w:r>
      <w:r>
        <w:t>Ongoing performance monitoring, logging, and independent audit of AI systems to detect drift, failures, or misuse after deployment. Metrics and key performance indicators (KPIs) are defined in advance.</w:t>
      </w:r>
    </w:p>
    <w:p>
      <w:pPr>
        <w:pStyle w:val="ListBullet"/>
      </w:pPr>
      <w:r>
        <w:rPr>
          <w:b/>
        </w:rPr>
        <w:t xml:space="preserve">Human Oversight and Contestability: </w:t>
      </w:r>
      <w:r>
        <w:t>Ensuring a human can review, override, or shut down an AI system when needed. Affected parties must have a pathway to challenge AI-driven decisions.</w:t>
      </w:r>
    </w:p>
    <w:p>
      <w:pPr>
        <w:pStyle w:val="ListBullet"/>
      </w:pPr>
      <w:r>
        <w:rPr>
          <w:b/>
        </w:rPr>
        <w:t xml:space="preserve">Compliance and Legal Obligations: </w:t>
      </w:r>
      <w:r>
        <w:t>Alignment with applicable laws, standards, and regulations — such as the Privacy Act, sector-specific regulations, and voluntary frameworks like Australia's AI Ethics Principles or the NIST AI RMF.</w:t>
      </w:r>
    </w:p>
    <w:p/>
    <w:p>
      <w:pPr>
        <w:pStyle w:val="Heading2"/>
      </w:pPr>
      <w:r>
        <w:t>2. Core Principles of the NIST AI RMF (NIST AI 100-1)</w:t>
      </w:r>
    </w:p>
    <w:p>
      <w:r>
        <w:t>NIST AI 100-1 (released January 2023) provides a voluntary, sector-agnostic framework to help organisations manage risks associated with AI systems throughout their lifecycle. The framework is structured around four core functions that form an iterative, non-linear cycle:</w:t>
      </w:r>
    </w:p>
    <w:p>
      <w:pPr>
        <w:pStyle w:val="Heading3"/>
      </w:pPr>
      <w:r>
        <w:t>GOVERN (Cross-Cutting Foundation)</w:t>
      </w:r>
    </w:p>
    <w:p>
      <w:r>
        <w:t>GOVERN is the foundational function that underpins all others. It establishes the organisational culture, policies, accountability structures, and processes needed to manage AI risk consistently. Key outcomes include: defining roles and responsibilities; setting risk tolerance; allocating resources; and embedding AI risk management into enterprise-wide governance. GOVERN is applied continuously and informs MAP, MEASURE, and MANAGE.</w:t>
      </w:r>
    </w:p>
    <w:p>
      <w:pPr>
        <w:pStyle w:val="ListBullet"/>
      </w:pPr>
      <w:r>
        <w:t>Establish AI risk policies and risk appetite.</w:t>
      </w:r>
    </w:p>
    <w:p>
      <w:pPr>
        <w:pStyle w:val="ListBullet"/>
      </w:pPr>
      <w:r>
        <w:t>Assign accountability and authority across the AI lifecycle.</w:t>
      </w:r>
    </w:p>
    <w:p>
      <w:pPr>
        <w:pStyle w:val="ListBullet"/>
      </w:pPr>
      <w:r>
        <w:t>Integrate AI governance with broader organisational risk management.</w:t>
      </w:r>
    </w:p>
    <w:p>
      <w:pPr>
        <w:pStyle w:val="ListBullet"/>
      </w:pPr>
      <w:r>
        <w:t>Foster a culture of responsible AI development.</w:t>
      </w:r>
    </w:p>
    <w:p>
      <w:pPr>
        <w:pStyle w:val="Heading3"/>
      </w:pPr>
      <w:r>
        <w:t>MAP (Context and Risk Identification)</w:t>
      </w:r>
    </w:p>
    <w:p>
      <w:r>
        <w:t>The MAP function establishes context for understanding and framing the risks associated with a specific AI system before it is deployed. It requires organisations to identify who the stakeholders are, what the system's intended purpose is, and what failure modes or negative impacts may arise.</w:t>
      </w:r>
    </w:p>
    <w:p>
      <w:pPr>
        <w:pStyle w:val="ListBullet"/>
      </w:pPr>
      <w:r>
        <w:t>Identify AI system purpose, scope, and affected stakeholders.</w:t>
      </w:r>
    </w:p>
    <w:p>
      <w:pPr>
        <w:pStyle w:val="ListBullet"/>
      </w:pPr>
      <w:r>
        <w:t>Catalogue potential risks (bias, privacy, safety, security).</w:t>
      </w:r>
    </w:p>
    <w:p>
      <w:pPr>
        <w:pStyle w:val="ListBullet"/>
      </w:pPr>
      <w:r>
        <w:t>Assess the broader societal and environmental impacts.</w:t>
      </w:r>
    </w:p>
    <w:p>
      <w:pPr>
        <w:pStyle w:val="ListBullet"/>
      </w:pPr>
      <w:r>
        <w:t>Document assumptions, limitations, and data sources.</w:t>
      </w:r>
    </w:p>
    <w:p>
      <w:pPr>
        <w:pStyle w:val="Heading3"/>
      </w:pPr>
      <w:r>
        <w:t>MEASURE (Risk Assessment and Monitoring)</w:t>
      </w:r>
    </w:p>
    <w:p>
      <w:r>
        <w:t>The MEASURE function uses quantitative, qualitative, or mixed-method tools to analyse, assess, benchmark, and monitor AI risks and their impacts. It converts the risks identified in MAP into measurable evidence that can be tracked and reported. AI systems must be tested before deployment and monitored continuously during operation.</w:t>
      </w:r>
    </w:p>
    <w:p>
      <w:pPr>
        <w:pStyle w:val="ListBullet"/>
      </w:pPr>
      <w:r>
        <w:t>Apply metrics for fairness, reliability, robustness, and explainability.</w:t>
      </w:r>
    </w:p>
    <w:p>
      <w:pPr>
        <w:pStyle w:val="ListBullet"/>
      </w:pPr>
      <w:r>
        <w:t>Conduct red-team testing, adversarial testing, and bias audits.</w:t>
      </w:r>
    </w:p>
    <w:p>
      <w:pPr>
        <w:pStyle w:val="ListBullet"/>
      </w:pPr>
      <w:r>
        <w:t>Benchmark performance against defined thresholds.</w:t>
      </w:r>
    </w:p>
    <w:p>
      <w:pPr>
        <w:pStyle w:val="ListBullet"/>
      </w:pPr>
      <w:r>
        <w:t>Document and track measurement results over time.</w:t>
      </w:r>
    </w:p>
    <w:p>
      <w:pPr>
        <w:pStyle w:val="Heading3"/>
      </w:pPr>
      <w:r>
        <w:t>MANAGE (Risk Treatment and Response)</w:t>
      </w:r>
    </w:p>
    <w:p>
      <w:r>
        <w:t>The MANAGE function uses outputs from GOVERN, MAP, and MEASURE to prioritise and treat identified AI risks. It includes implementing mitigations, monitoring residual risks, and preparing incident response and recovery plans for when AI systems behave unexpectedly or cause harm.</w:t>
      </w:r>
    </w:p>
    <w:p>
      <w:pPr>
        <w:pStyle w:val="ListBullet"/>
      </w:pPr>
      <w:r>
        <w:t>Prioritise risks by likelihood, severity, and organisational risk tolerance.</w:t>
      </w:r>
    </w:p>
    <w:p>
      <w:pPr>
        <w:pStyle w:val="ListBullet"/>
      </w:pPr>
      <w:r>
        <w:t>Apply risk treatments: accept, mitigate, transfer, or avoid.</w:t>
      </w:r>
    </w:p>
    <w:p>
      <w:pPr>
        <w:pStyle w:val="ListBullet"/>
      </w:pPr>
      <w:r>
        <w:t>Implement safeguards, human-review checkpoints, and fail-safes.</w:t>
      </w:r>
    </w:p>
    <w:p>
      <w:pPr>
        <w:pStyle w:val="ListBullet"/>
      </w:pPr>
      <w:r>
        <w:t>Establish response and recovery plans for AI-related incidents.</w:t>
      </w:r>
    </w:p>
    <w:p>
      <w:r>
        <w:t>Together, these four functions create a continuous improvement cycle: GOVERN sets the rules, MAP identifies what could go wrong, MEASURE provides evidence of how things are going, and MANAGE acts on that evidence to reduce harm and build trustworthy AI.</w:t>
      </w:r>
    </w:p>
    <w:p/>
    <w:p>
      <w:pPr>
        <w:pStyle w:val="Heading1"/>
      </w:pPr>
      <w:r>
        <w:t>Task 2 – Case Study Report: Australia's AI Ethics Principles</w:t>
      </w:r>
    </w:p>
    <w:p>
      <w:pPr>
        <w:pStyle w:val="Heading2"/>
      </w:pPr>
      <w:r>
        <w:t>Introduction</w:t>
      </w:r>
    </w:p>
    <w:p>
      <w:r>
        <w:t>The Australian Government's Department of Industry, Science and Resources published eight Artificial Intelligence (AI) Ethics Principles to guide businesses and governments in the responsible design, development, and implementation of AI. These voluntary principles are designed to ensure AI in Australia is safe, secure, and reliable. In October 2025, the Government further evolved this guidance by publishing the Guidance for AI Adoption, which consolidates these principles into six essential practices for responsible AI governance. This report reviews the eight principles and reflects on their significance for Australian organisations.</w:t>
      </w:r>
    </w:p>
    <w:p>
      <w:pPr>
        <w:pStyle w:val="Heading2"/>
      </w:pPr>
      <w:r>
        <w:t>The Eight AI Ethics Principles</w:t>
      </w:r>
    </w:p>
    <w:p>
      <w:pPr>
        <w:pStyle w:val="ListBullet"/>
      </w:pPr>
      <w:r>
        <w:rPr>
          <w:b/>
        </w:rPr>
        <w:t xml:space="preserve">1. Human, Societal and Environmental Wellbeing: </w:t>
      </w:r>
      <w:r>
        <w:t>AI systems should benefit individuals, society, and the environment. Developers must consider not only immediate users but also broader social and ecological impacts throughout the AI lifecycle.</w:t>
      </w:r>
    </w:p>
    <w:p>
      <w:pPr>
        <w:pStyle w:val="ListBullet"/>
      </w:pPr>
      <w:r>
        <w:rPr>
          <w:b/>
        </w:rPr>
        <w:t xml:space="preserve">2. Human-Centred Values: </w:t>
      </w:r>
      <w:r>
        <w:t>AI systems should respect human rights, diversity, and individual autonomy. This principle aligns with existing Australian human rights obligations and ensures AI does not erode fundamental freedoms.</w:t>
      </w:r>
    </w:p>
    <w:p>
      <w:pPr>
        <w:pStyle w:val="ListBullet"/>
      </w:pPr>
      <w:r>
        <w:rPr>
          <w:b/>
        </w:rPr>
        <w:t xml:space="preserve">3. Fairness: </w:t>
      </w:r>
      <w:r>
        <w:t>AI systems should be inclusive and accessible and must not produce or reinforce unfair discrimination against individuals, communities, or groups — including on the basis of age, gender, ethnicity, or disability.</w:t>
      </w:r>
    </w:p>
    <w:p>
      <w:pPr>
        <w:pStyle w:val="ListBullet"/>
      </w:pPr>
      <w:r>
        <w:rPr>
          <w:b/>
        </w:rPr>
        <w:t xml:space="preserve">4. Privacy Protection and Security: </w:t>
      </w:r>
      <w:r>
        <w:t>AI systems must respect and uphold privacy rights and data protection laws (particularly the Privacy Act 1988) and ensure the security of data used in AI processes against unauthorised access or misuse.</w:t>
      </w:r>
    </w:p>
    <w:p>
      <w:pPr>
        <w:pStyle w:val="ListBullet"/>
      </w:pPr>
      <w:r>
        <w:rPr>
          <w:b/>
        </w:rPr>
        <w:t xml:space="preserve">5. Reliability and Safety: </w:t>
      </w:r>
      <w:r>
        <w:t>AI systems should reliably operate in accordance with their intended purpose and not pose unnecessary safety risks. Systems must be tested, validated, and monitored to ensure consistent and safe behaviour.</w:t>
      </w:r>
    </w:p>
    <w:p>
      <w:pPr>
        <w:pStyle w:val="ListBullet"/>
      </w:pPr>
      <w:r>
        <w:rPr>
          <w:b/>
        </w:rPr>
        <w:t xml:space="preserve">6. Transparency and Explainability: </w:t>
      </w:r>
      <w:r>
        <w:t>People should be able to understand when they are significantly impacted by an AI system and be informed when they are interacting with one. Organisations should be able to explain AI-driven decisions in meaningful terms.</w:t>
      </w:r>
    </w:p>
    <w:p>
      <w:pPr>
        <w:pStyle w:val="ListBullet"/>
      </w:pPr>
      <w:r>
        <w:rPr>
          <w:b/>
        </w:rPr>
        <w:t xml:space="preserve">7. Contestability: </w:t>
      </w:r>
      <w:r>
        <w:t>When an AI system significantly affects a person, community, group, or the environment, there must be a timely and accessible process to challenge the use or outcome of the AI system. This safeguard is critical for high-stakes decisions such as credit assessments or public-benefit allocations.</w:t>
      </w:r>
    </w:p>
    <w:p>
      <w:pPr>
        <w:pStyle w:val="ListBullet"/>
      </w:pPr>
      <w:r>
        <w:rPr>
          <w:b/>
        </w:rPr>
        <w:t xml:space="preserve">8. Accountability: </w:t>
      </w:r>
      <w:r>
        <w:t>People responsible for the different phases of the AI system lifecycle (design, development, deployment, and decommission) must be identifiable and accountable for the outcomes. Human oversight of AI systems must be enabled and maintained.</w:t>
      </w:r>
    </w:p>
    <w:p>
      <w:pPr>
        <w:pStyle w:val="Heading2"/>
      </w:pPr>
      <w:r>
        <w:t>Feedback and Reflection</w:t>
      </w:r>
    </w:p>
    <w:p>
      <w:r>
        <w:t>Australia's AI Ethics Principles represent a pragmatic and human-centred approach to AI governance. Several aspects are particularly noteworthy:</w:t>
      </w:r>
    </w:p>
    <w:p>
      <w:pPr>
        <w:pStyle w:val="ListBullet"/>
      </w:pPr>
      <w:r>
        <w:rPr>
          <w:b/>
        </w:rPr>
        <w:t xml:space="preserve">Voluntary but meaningful: </w:t>
      </w:r>
      <w:r>
        <w:t>While the principles are currently voluntary (not legally binding), they establish a clear normative benchmark. Organisations that adopt them signal trustworthiness to customers, regulators, and partners. The 2025 update to the Guidance for AI Adoption shows the Government is actively refining this framework in response to emerging AI risks.</w:t>
      </w:r>
    </w:p>
    <w:p>
      <w:pPr>
        <w:pStyle w:val="ListBullet"/>
      </w:pPr>
      <w:r>
        <w:rPr>
          <w:b/>
        </w:rPr>
        <w:t xml:space="preserve">Alignment with global frameworks: </w:t>
      </w:r>
      <w:r>
        <w:t>The principles closely align with the NIST AI RMF (particularly GOVERN and MAP functions), the OECD AI Principles, and the EU AI Act — making it easier for Australian organisations operating internationally to demonstrate compliance across multiple jurisdictions.</w:t>
      </w:r>
    </w:p>
    <w:p>
      <w:pPr>
        <w:pStyle w:val="ListBullet"/>
      </w:pPr>
      <w:r>
        <w:rPr>
          <w:b/>
        </w:rPr>
        <w:t xml:space="preserve">Gaps and challenges: </w:t>
      </w:r>
      <w:r>
        <w:t>As a voluntary framework, enforcement and consistency of adoption across industries remains a challenge. SMBs, in particular, may lack the resources to implement all principles comprehensively. Greater practical guidance — such as the NAIC's implementation toolkit — is needed to bridge the gap between principle and practice.</w:t>
      </w:r>
    </w:p>
    <w:p>
      <w:pPr>
        <w:pStyle w:val="ListBullet"/>
      </w:pPr>
      <w:r>
        <w:rPr>
          <w:b/>
        </w:rPr>
        <w:t xml:space="preserve">Relevance to recent incidents: </w:t>
      </w:r>
      <w:r>
        <w:t>The principles of privacy, accountability, and contestability are directly relevant to recent Australian data breach incidents (e.g. University of Sydney, Dodo/iPrimus). Had AI-driven systems contributed to those breaches, these principles would provide the ethical baseline for evaluating organisational responsibility.</w:t>
      </w:r>
    </w:p>
    <w:p>
      <w:pPr>
        <w:pStyle w:val="ListBullet"/>
      </w:pPr>
      <w:r>
        <w:rPr>
          <w:b/>
        </w:rPr>
        <w:t xml:space="preserve">Conclusion: </w:t>
      </w:r>
      <w:r>
        <w:t>Australia's AI Ethics Principles provide a solid foundation for responsible AI use. As AI adoption accelerates across education, healthcare, defence, and commerce, transitioning from voluntary principles to enforceable standards — informed by practical implementation experience — will be essential to ensuring AI genuinely benefits all Australians.</w:t>
      </w:r>
    </w:p>
    <w:p/>
    <w:p>
      <w:pPr>
        <w:pStyle w:val="Heading1"/>
      </w:pPr>
      <w:r>
        <w:t>References</w:t>
      </w:r>
    </w:p>
    <w:p>
      <w:pPr>
        <w:pStyle w:val="ListBullet"/>
      </w:pPr>
      <w:r>
        <w:t>NIST (2023). NIST AI 100-1: Artificial Intelligence Risk Management Framework (AI RMF 1.0). National Institute of Standards and Technology. https://nvlpubs.nist.gov/nistpubs/ai/NIST.AI.100-1.pdf</w:t>
      </w:r>
    </w:p>
    <w:p>
      <w:pPr>
        <w:pStyle w:val="ListBullet"/>
      </w:pPr>
      <w:r>
        <w:t>Department of Industry, Science and Resources (2019, updated 2025). Australia's AI Ethics Principles. Australian Government. https://www.industry.gov.au/publications/australias-ai-ethics-principles</w:t>
      </w:r>
    </w:p>
    <w:p>
      <w:pPr>
        <w:pStyle w:val="ListBullet"/>
      </w:pPr>
      <w:r>
        <w:t>NIST AI Resource Center (2026). AI RMF Core. https://airc.nist.gov/airmf-resources/airmf/5-sec-core/</w:t>
      </w:r>
    </w:p>
    <w:p>
      <w:pPr>
        <w:pStyle w:val="ListBullet"/>
      </w:pPr>
      <w:r>
        <w:t>National Artificial Intelligence Centre (NAIC) &amp; Gradient Institute (2023). Implementing Australia's AI Ethics Principles. https://www.industry.gov.au/publications/implementing-australias-ai-ethics-principles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