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C7E0" w14:textId="77777777" w:rsidR="000B1BAA" w:rsidRPr="00D43C17" w:rsidRDefault="00000000" w:rsidP="00D43C17">
      <w:pPr>
        <w:spacing w:after="40"/>
        <w:jc w:val="center"/>
        <w:rPr>
          <w:rFonts w:asciiTheme="minorHAnsi" w:hAnsiTheme="minorHAnsi" w:cstheme="minorHAnsi"/>
          <w:b/>
          <w:bCs/>
          <w:sz w:val="36"/>
          <w:szCs w:val="36"/>
        </w:rPr>
      </w:pPr>
      <w:r w:rsidRPr="00D43C17">
        <w:rPr>
          <w:rFonts w:asciiTheme="minorHAnsi" w:hAnsiTheme="minorHAnsi" w:cstheme="minorHAnsi"/>
          <w:b/>
          <w:bCs/>
          <w:sz w:val="36"/>
          <w:szCs w:val="36"/>
        </w:rPr>
        <w:t>Clinical Decision Making and Pattern Recognition in Health Care</w:t>
      </w:r>
    </w:p>
    <w:p w14:paraId="214AB910" w14:textId="77777777" w:rsidR="000B1BAA" w:rsidRPr="00D43C17" w:rsidRDefault="00000000" w:rsidP="00D43C17">
      <w:pPr>
        <w:spacing w:after="40"/>
        <w:jc w:val="center"/>
        <w:rPr>
          <w:rFonts w:asciiTheme="minorHAnsi" w:hAnsiTheme="minorHAnsi" w:cstheme="minorHAnsi"/>
        </w:rPr>
      </w:pPr>
      <w:r w:rsidRPr="00D43C17">
        <w:rPr>
          <w:rFonts w:asciiTheme="minorHAnsi" w:hAnsiTheme="minorHAnsi" w:cstheme="minorHAnsi"/>
          <w:sz w:val="22"/>
          <w:szCs w:val="22"/>
        </w:rPr>
        <w:t>Agentic AI · Classification · Prediction · Anomaly Detection for TPO</w:t>
      </w:r>
    </w:p>
    <w:p w14:paraId="4AAA68BD" w14:textId="5AD460B6" w:rsidR="000B1BAA" w:rsidRPr="00D43C17" w:rsidRDefault="00000000" w:rsidP="00D43C17">
      <w:pPr>
        <w:spacing w:after="50"/>
        <w:jc w:val="center"/>
        <w:rPr>
          <w:rFonts w:asciiTheme="minorHAnsi" w:hAnsiTheme="minorHAnsi" w:cstheme="minorHAnsi"/>
        </w:rPr>
      </w:pPr>
      <w:r w:rsidRPr="00D43C17">
        <w:rPr>
          <w:rFonts w:asciiTheme="minorHAnsi" w:hAnsiTheme="minorHAnsi" w:cstheme="minorHAnsi"/>
          <w:sz w:val="20"/>
          <w:szCs w:val="20"/>
        </w:rPr>
        <w:t>Sree Vardhan Sunkara • University of Houston • June 2026</w:t>
      </w:r>
    </w:p>
    <w:p w14:paraId="0680F0E8" w14:textId="77777777" w:rsidR="000B1BAA" w:rsidRPr="00D43C17" w:rsidRDefault="000B1BAA" w:rsidP="00D43C17">
      <w:pPr>
        <w:pBdr>
          <w:bottom w:val="single" w:sz="8" w:space="1" w:color="0D9488"/>
        </w:pBdr>
        <w:spacing w:after="200"/>
        <w:rPr>
          <w:rFonts w:asciiTheme="minorHAnsi" w:hAnsiTheme="minorHAnsi" w:cstheme="minorHAnsi"/>
        </w:rPr>
      </w:pPr>
    </w:p>
    <w:p w14:paraId="1BA6AA62" w14:textId="77777777" w:rsidR="000B1BAA" w:rsidRPr="00D43C17" w:rsidRDefault="000B1BAA" w:rsidP="00D43C17">
      <w:pPr>
        <w:spacing w:after="40"/>
        <w:rPr>
          <w:rFonts w:asciiTheme="minorHAnsi" w:hAnsiTheme="minorHAnsi" w:cstheme="minorHAnsi"/>
        </w:rPr>
      </w:pPr>
    </w:p>
    <w:p w14:paraId="63E32A9F" w14:textId="77777777" w:rsidR="000B1BAA" w:rsidRPr="00D43C17" w:rsidRDefault="00000000" w:rsidP="00D43C17">
      <w:pPr>
        <w:pStyle w:val="Heading1"/>
        <w:rPr>
          <w:rFonts w:asciiTheme="minorHAnsi" w:hAnsiTheme="minorHAnsi" w:cstheme="minorHAnsi"/>
          <w:color w:val="auto"/>
        </w:rPr>
      </w:pPr>
      <w:r w:rsidRPr="00D43C17">
        <w:rPr>
          <w:rFonts w:asciiTheme="minorHAnsi" w:hAnsiTheme="minorHAnsi" w:cstheme="minorHAnsi"/>
          <w:color w:val="auto"/>
        </w:rPr>
        <w:t>1.  Concept Definition</w:t>
      </w:r>
    </w:p>
    <w:p w14:paraId="1CE6F85F" w14:textId="46DD89D5" w:rsidR="000B1BAA" w:rsidRPr="00D43C17" w:rsidRDefault="00000000" w:rsidP="00D43C17">
      <w:pPr>
        <w:spacing w:after="140"/>
        <w:jc w:val="both"/>
        <w:rPr>
          <w:rFonts w:asciiTheme="minorHAnsi" w:hAnsiTheme="minorHAnsi" w:cstheme="minorHAnsi"/>
          <w:sz w:val="22"/>
          <w:szCs w:val="22"/>
        </w:rPr>
      </w:pPr>
      <w:r w:rsidRPr="00D43C17">
        <w:rPr>
          <w:rFonts w:asciiTheme="minorHAnsi" w:hAnsiTheme="minorHAnsi" w:cstheme="minorHAnsi"/>
          <w:sz w:val="22"/>
          <w:szCs w:val="22"/>
        </w:rPr>
        <w:t xml:space="preserve">Clinical </w:t>
      </w:r>
      <w:r w:rsidR="00D43C17" w:rsidRPr="00D43C17">
        <w:rPr>
          <w:rFonts w:asciiTheme="minorHAnsi" w:hAnsiTheme="minorHAnsi" w:cstheme="minorHAnsi"/>
          <w:sz w:val="22"/>
          <w:szCs w:val="22"/>
        </w:rPr>
        <w:t>decision-making</w:t>
      </w:r>
      <w:r w:rsidRPr="00D43C17">
        <w:rPr>
          <w:rFonts w:asciiTheme="minorHAnsi" w:hAnsiTheme="minorHAnsi" w:cstheme="minorHAnsi"/>
          <w:sz w:val="22"/>
          <w:szCs w:val="22"/>
        </w:rPr>
        <w:t xml:space="preserve"> and pattern recognition in health care </w:t>
      </w:r>
      <w:r w:rsidR="00D43C17" w:rsidRPr="00D43C17">
        <w:rPr>
          <w:rFonts w:asciiTheme="minorHAnsi" w:hAnsiTheme="minorHAnsi" w:cstheme="minorHAnsi"/>
          <w:sz w:val="22"/>
          <w:szCs w:val="22"/>
        </w:rPr>
        <w:t>encompass</w:t>
      </w:r>
      <w:r w:rsidRPr="00D43C17">
        <w:rPr>
          <w:rFonts w:asciiTheme="minorHAnsi" w:hAnsiTheme="minorHAnsi" w:cstheme="minorHAnsi"/>
          <w:sz w:val="22"/>
          <w:szCs w:val="22"/>
        </w:rPr>
        <w:t xml:space="preserve"> the application of machine learning (ML), agentic generative AI, and time-series analytics to support Treatment, Payment, and Operations (TPO) decision-making. These systems ingest structured and unstructured clinical data to classify diagnoses, predict patient outcomes, infer causal relationships, cluster patient populations, and detect anomalies in billing or care delivery patterns. Modern approaches leverage gradient boosting ensembles, deep learning architectures, and large language models (LLMs) to reason across multi-modal data sources including electronic health records (EHRs), claims data, lab results, and provider billing streams.</w:t>
      </w:r>
    </w:p>
    <w:p w14:paraId="63D3097C" w14:textId="77777777" w:rsidR="000B1BAA" w:rsidRPr="00D43C17" w:rsidRDefault="00000000" w:rsidP="00D43C17">
      <w:pPr>
        <w:spacing w:after="160"/>
        <w:jc w:val="both"/>
        <w:rPr>
          <w:rFonts w:asciiTheme="minorHAnsi" w:hAnsiTheme="minorHAnsi" w:cstheme="minorHAnsi"/>
          <w:sz w:val="22"/>
          <w:szCs w:val="22"/>
        </w:rPr>
      </w:pPr>
      <w:r w:rsidRPr="00D43C17">
        <w:rPr>
          <w:rFonts w:asciiTheme="minorHAnsi" w:hAnsiTheme="minorHAnsi" w:cstheme="minorHAnsi"/>
          <w:sz w:val="22"/>
          <w:szCs w:val="22"/>
        </w:rPr>
        <w:t>Agentic generative AI represents the frontier of this domain. Autonomous AI agents orchestrate multi-step reasoning workflows — retrieving evidence from policy documents, classifying billing records for fraud risk, cross-validating findings, and generating human-readable reviewer briefs — with minimal human intervention per step. Retrieval-Augmented Generation (RAG) grounds these agents in verifiable policy knowledge, reducing hallucination risk while enabling every AI output to be traced back to an authoritative source.</w:t>
      </w:r>
    </w:p>
    <w:p w14:paraId="321FC3FF" w14:textId="77777777" w:rsidR="000B1BAA" w:rsidRPr="00D43C17" w:rsidRDefault="00000000" w:rsidP="00D43C17">
      <w:pPr>
        <w:pStyle w:val="Heading1"/>
        <w:rPr>
          <w:rFonts w:asciiTheme="minorHAnsi" w:hAnsiTheme="minorHAnsi" w:cstheme="minorHAnsi"/>
          <w:color w:val="auto"/>
        </w:rPr>
      </w:pPr>
      <w:r w:rsidRPr="00D43C17">
        <w:rPr>
          <w:rFonts w:asciiTheme="minorHAnsi" w:hAnsiTheme="minorHAnsi" w:cstheme="minorHAnsi"/>
          <w:color w:val="auto"/>
        </w:rPr>
        <w:t>2.  Relevant Trends</w:t>
      </w:r>
    </w:p>
    <w:p w14:paraId="07AEE156" w14:textId="77777777" w:rsidR="000B1BAA" w:rsidRPr="00D43C17" w:rsidRDefault="00000000" w:rsidP="00D43C17">
      <w:pPr>
        <w:pStyle w:val="Heading2"/>
        <w:rPr>
          <w:rFonts w:asciiTheme="minorHAnsi" w:hAnsiTheme="minorHAnsi" w:cstheme="minorHAnsi"/>
          <w:color w:val="auto"/>
        </w:rPr>
      </w:pPr>
      <w:proofErr w:type="gramStart"/>
      <w:r w:rsidRPr="00D43C17">
        <w:rPr>
          <w:rFonts w:asciiTheme="minorHAnsi" w:hAnsiTheme="minorHAnsi" w:cstheme="minorHAnsi"/>
          <w:color w:val="auto"/>
        </w:rPr>
        <w:t>2.1  Agentic</w:t>
      </w:r>
      <w:proofErr w:type="gramEnd"/>
      <w:r w:rsidRPr="00D43C17">
        <w:rPr>
          <w:rFonts w:asciiTheme="minorHAnsi" w:hAnsiTheme="minorHAnsi" w:cstheme="minorHAnsi"/>
          <w:color w:val="auto"/>
        </w:rPr>
        <w:t xml:space="preserve"> AI Adoption in Payer Operations</w:t>
      </w:r>
    </w:p>
    <w:p w14:paraId="5B074F98" w14:textId="19CEEBE5" w:rsidR="000B1BAA" w:rsidRPr="00D43C17" w:rsidRDefault="00000000" w:rsidP="00D43C17">
      <w:pPr>
        <w:spacing w:after="130"/>
        <w:jc w:val="both"/>
        <w:rPr>
          <w:rFonts w:asciiTheme="minorHAnsi" w:hAnsiTheme="minorHAnsi" w:cstheme="minorHAnsi"/>
          <w:sz w:val="22"/>
          <w:szCs w:val="22"/>
        </w:rPr>
      </w:pPr>
      <w:r w:rsidRPr="00D43C17">
        <w:rPr>
          <w:rFonts w:asciiTheme="minorHAnsi" w:hAnsiTheme="minorHAnsi" w:cstheme="minorHAnsi"/>
          <w:sz w:val="22"/>
          <w:szCs w:val="22"/>
        </w:rPr>
        <w:t xml:space="preserve">Between 2021 and 2025, over 53,000 publications addressed AI and ML in medical contexts across clinical </w:t>
      </w:r>
      <w:r w:rsidR="00D43C17" w:rsidRPr="00D43C17">
        <w:rPr>
          <w:rFonts w:asciiTheme="minorHAnsi" w:hAnsiTheme="minorHAnsi" w:cstheme="minorHAnsi"/>
          <w:sz w:val="22"/>
          <w:szCs w:val="22"/>
        </w:rPr>
        <w:t>specialities</w:t>
      </w:r>
      <w:r w:rsidRPr="00D43C17">
        <w:rPr>
          <w:rFonts w:asciiTheme="minorHAnsi" w:hAnsiTheme="minorHAnsi" w:cstheme="minorHAnsi"/>
          <w:sz w:val="22"/>
          <w:szCs w:val="22"/>
        </w:rPr>
        <w:t xml:space="preserve"> (Andres et al., 2025). Gartner projects 40% of enterprise applications will embed task-specific AI agents by </w:t>
      </w:r>
      <w:r w:rsidR="00D43C17" w:rsidRPr="00D43C17">
        <w:rPr>
          <w:rFonts w:asciiTheme="minorHAnsi" w:hAnsiTheme="minorHAnsi" w:cstheme="minorHAnsi"/>
          <w:sz w:val="22"/>
          <w:szCs w:val="22"/>
        </w:rPr>
        <w:t xml:space="preserve">the </w:t>
      </w:r>
      <w:r w:rsidRPr="00D43C17">
        <w:rPr>
          <w:rFonts w:asciiTheme="minorHAnsi" w:hAnsiTheme="minorHAnsi" w:cstheme="minorHAnsi"/>
          <w:sz w:val="22"/>
          <w:szCs w:val="22"/>
        </w:rPr>
        <w:t>end of 2026, up from under 5% in 2025 (Gartner, 2025). Accenture (2026) reports health insurers deploying Super Agents for automated claims intake and adjudication alongside Utility Agents for document extraction and compliance monitoring. Fraud detection improvements of 30-40% over rule-based systems are now standard in published payer case studies (Ricci, 2026).</w:t>
      </w:r>
    </w:p>
    <w:p w14:paraId="428572A1" w14:textId="77777777" w:rsidR="000B1BAA" w:rsidRPr="00D43C17" w:rsidRDefault="00000000" w:rsidP="00D43C17">
      <w:pPr>
        <w:pStyle w:val="Heading2"/>
        <w:rPr>
          <w:rFonts w:asciiTheme="minorHAnsi" w:hAnsiTheme="minorHAnsi" w:cstheme="minorHAnsi"/>
          <w:color w:val="auto"/>
        </w:rPr>
      </w:pPr>
      <w:proofErr w:type="gramStart"/>
      <w:r w:rsidRPr="00D43C17">
        <w:rPr>
          <w:rFonts w:asciiTheme="minorHAnsi" w:hAnsiTheme="minorHAnsi" w:cstheme="minorHAnsi"/>
          <w:color w:val="auto"/>
        </w:rPr>
        <w:t>2.2  ML</w:t>
      </w:r>
      <w:proofErr w:type="gramEnd"/>
      <w:r w:rsidRPr="00D43C17">
        <w:rPr>
          <w:rFonts w:asciiTheme="minorHAnsi" w:hAnsiTheme="minorHAnsi" w:cstheme="minorHAnsi"/>
          <w:color w:val="auto"/>
        </w:rPr>
        <w:t>-Driven Payment Integrity</w:t>
      </w:r>
    </w:p>
    <w:p w14:paraId="6F6217EB" w14:textId="63C94350" w:rsidR="00D43C17" w:rsidRPr="00D43C17" w:rsidRDefault="00000000" w:rsidP="00D43C17">
      <w:pPr>
        <w:spacing w:after="130"/>
        <w:jc w:val="both"/>
        <w:rPr>
          <w:rFonts w:asciiTheme="minorHAnsi" w:hAnsiTheme="minorHAnsi" w:cstheme="minorHAnsi"/>
          <w:sz w:val="22"/>
          <w:szCs w:val="22"/>
        </w:rPr>
      </w:pPr>
      <w:r w:rsidRPr="00D43C17">
        <w:rPr>
          <w:rFonts w:asciiTheme="minorHAnsi" w:hAnsiTheme="minorHAnsi" w:cstheme="minorHAnsi"/>
          <w:sz w:val="22"/>
          <w:szCs w:val="22"/>
        </w:rPr>
        <w:t xml:space="preserve">The U.S. FDA authorized approximately 950 AI/ML-enabled medical devices as of August 2024, predominantly for disease detection and clinical decision support (National </w:t>
      </w:r>
      <w:proofErr w:type="spellStart"/>
      <w:r w:rsidRPr="00D43C17">
        <w:rPr>
          <w:rFonts w:asciiTheme="minorHAnsi" w:hAnsiTheme="minorHAnsi" w:cstheme="minorHAnsi"/>
          <w:sz w:val="22"/>
          <w:szCs w:val="22"/>
        </w:rPr>
        <w:t>Center</w:t>
      </w:r>
      <w:proofErr w:type="spellEnd"/>
      <w:r w:rsidRPr="00D43C17">
        <w:rPr>
          <w:rFonts w:asciiTheme="minorHAnsi" w:hAnsiTheme="minorHAnsi" w:cstheme="minorHAnsi"/>
          <w:sz w:val="22"/>
          <w:szCs w:val="22"/>
        </w:rPr>
        <w:t xml:space="preserve"> for Biotechnology Information [NCBI], 2025). In payment integrity, gradient boosting models combined with SMOTE-based class balancing are the industry standard for detecting billing irregularities, upcoding, and unbundling patterns. SHAP (</w:t>
      </w:r>
      <w:proofErr w:type="spellStart"/>
      <w:r w:rsidRPr="00D43C17">
        <w:rPr>
          <w:rFonts w:asciiTheme="minorHAnsi" w:hAnsiTheme="minorHAnsi" w:cstheme="minorHAnsi"/>
          <w:sz w:val="22"/>
          <w:szCs w:val="22"/>
        </w:rPr>
        <w:t>SHapley</w:t>
      </w:r>
      <w:proofErr w:type="spellEnd"/>
      <w:r w:rsidRPr="00D43C17">
        <w:rPr>
          <w:rFonts w:asciiTheme="minorHAnsi" w:hAnsiTheme="minorHAnsi" w:cstheme="minorHAnsi"/>
          <w:sz w:val="22"/>
          <w:szCs w:val="22"/>
        </w:rPr>
        <w:t xml:space="preserve"> Additive </w:t>
      </w:r>
      <w:proofErr w:type="spellStart"/>
      <w:r w:rsidRPr="00D43C17">
        <w:rPr>
          <w:rFonts w:asciiTheme="minorHAnsi" w:hAnsiTheme="minorHAnsi" w:cstheme="minorHAnsi"/>
          <w:sz w:val="22"/>
          <w:szCs w:val="22"/>
        </w:rPr>
        <w:t>exPlanations</w:t>
      </w:r>
      <w:proofErr w:type="spellEnd"/>
      <w:r w:rsidRPr="00D43C17">
        <w:rPr>
          <w:rFonts w:asciiTheme="minorHAnsi" w:hAnsiTheme="minorHAnsi" w:cstheme="minorHAnsi"/>
          <w:sz w:val="22"/>
          <w:szCs w:val="22"/>
        </w:rPr>
        <w:t>) has emerged as the leading explainability framework, enabling every anomaly flag to be accompanied by a ranked list of contributing features for human reviewer validation (Zelis, 2025).</w:t>
      </w:r>
    </w:p>
    <w:p w14:paraId="41FC630B" w14:textId="77777777" w:rsidR="000B1BAA" w:rsidRPr="00D43C17" w:rsidRDefault="00000000" w:rsidP="00D43C17">
      <w:pPr>
        <w:pStyle w:val="Heading2"/>
        <w:rPr>
          <w:rFonts w:asciiTheme="minorHAnsi" w:hAnsiTheme="minorHAnsi" w:cstheme="minorHAnsi"/>
          <w:color w:val="auto"/>
        </w:rPr>
      </w:pPr>
      <w:proofErr w:type="gramStart"/>
      <w:r w:rsidRPr="00D43C17">
        <w:rPr>
          <w:rFonts w:asciiTheme="minorHAnsi" w:hAnsiTheme="minorHAnsi" w:cstheme="minorHAnsi"/>
          <w:color w:val="auto"/>
        </w:rPr>
        <w:t>2.3  RAG</w:t>
      </w:r>
      <w:proofErr w:type="gramEnd"/>
      <w:r w:rsidRPr="00D43C17">
        <w:rPr>
          <w:rFonts w:asciiTheme="minorHAnsi" w:hAnsiTheme="minorHAnsi" w:cstheme="minorHAnsi"/>
          <w:color w:val="auto"/>
        </w:rPr>
        <w:t xml:space="preserve"> and Semantic Policy Retrieval</w:t>
      </w:r>
    </w:p>
    <w:p w14:paraId="0A706AA0" w14:textId="77777777" w:rsidR="000B1BAA" w:rsidRPr="00D43C17" w:rsidRDefault="00000000" w:rsidP="00D43C17">
      <w:pPr>
        <w:spacing w:after="140"/>
        <w:jc w:val="both"/>
        <w:rPr>
          <w:rFonts w:asciiTheme="minorHAnsi" w:hAnsiTheme="minorHAnsi" w:cstheme="minorHAnsi"/>
          <w:sz w:val="22"/>
          <w:szCs w:val="22"/>
        </w:rPr>
      </w:pPr>
      <w:r w:rsidRPr="00D43C17">
        <w:rPr>
          <w:rFonts w:asciiTheme="minorHAnsi" w:hAnsiTheme="minorHAnsi" w:cstheme="minorHAnsi"/>
          <w:sz w:val="22"/>
          <w:szCs w:val="22"/>
        </w:rPr>
        <w:t>Retrieval-Augmented Generation has matured from a research concept to a production pattern. FAISS (Facebook AI Similarity Search) combined with Sentence Transformer embedding models enables semantic search across large policy repositories in milliseconds. Applied to healthcare, a RAG agent can immediately retrieve the specific CMS policy or clinical guideline most relevant to a flagged billing pattern, grounding downstream summaries in authoritative source material rather than model-generated speculation (Zhang &amp; Li, 2025).</w:t>
      </w:r>
    </w:p>
    <w:p w14:paraId="30B26CB8" w14:textId="438F8856" w:rsidR="000B1BAA" w:rsidRPr="00D43C17" w:rsidRDefault="00000000" w:rsidP="00D43C17">
      <w:pPr>
        <w:pStyle w:val="Heading1"/>
        <w:rPr>
          <w:rFonts w:asciiTheme="minorHAnsi" w:hAnsiTheme="minorHAnsi" w:cstheme="minorHAnsi"/>
          <w:color w:val="auto"/>
        </w:rPr>
      </w:pPr>
      <w:r w:rsidRPr="00D43C17">
        <w:rPr>
          <w:rFonts w:asciiTheme="minorHAnsi" w:hAnsiTheme="minorHAnsi" w:cstheme="minorHAnsi"/>
          <w:color w:val="auto"/>
        </w:rPr>
        <w:lastRenderedPageBreak/>
        <w:t>3.  Opportunities and Threats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500"/>
        <w:gridCol w:w="4760"/>
      </w:tblGrid>
      <w:tr w:rsidR="00D43C17" w:rsidRPr="00D43C17" w14:paraId="21168760" w14:textId="77777777" w:rsidTr="00D43C17">
        <w:tblPrEx>
          <w:tblCellMar>
            <w:top w:w="0" w:type="dxa"/>
            <w:bottom w:w="0" w:type="dxa"/>
          </w:tblCellMar>
        </w:tblPrEx>
        <w:tc>
          <w:tcPr>
            <w:tcW w:w="4500" w:type="dxa"/>
            <w:tcBorders>
              <w:top w:val="single" w:sz="2" w:space="0" w:color="0D9488"/>
              <w:left w:val="single" w:sz="2" w:space="0" w:color="0D9488"/>
              <w:bottom w:val="single" w:sz="2" w:space="0" w:color="0D9488"/>
              <w:right w:val="single" w:sz="2" w:space="0" w:color="0D9488"/>
            </w:tcBorders>
            <w:shd w:val="clear" w:color="auto" w:fill="FFFFFF" w:themeFill="background1"/>
            <w:tcMar>
              <w:top w:w="60" w:type="dxa"/>
              <w:left w:w="120" w:type="dxa"/>
              <w:bottom w:w="60" w:type="dxa"/>
              <w:right w:w="120" w:type="dxa"/>
            </w:tcMar>
          </w:tcPr>
          <w:p w14:paraId="4801ACBB" w14:textId="77777777" w:rsidR="000B1BAA" w:rsidRPr="00D43C17" w:rsidRDefault="00000000" w:rsidP="00D43C17">
            <w:pPr>
              <w:rPr>
                <w:rFonts w:asciiTheme="minorHAnsi" w:hAnsiTheme="minorHAnsi" w:cstheme="minorHAnsi"/>
                <w:b/>
                <w:bCs/>
                <w:sz w:val="22"/>
                <w:szCs w:val="22"/>
              </w:rPr>
            </w:pPr>
            <w:r w:rsidRPr="00D43C17">
              <w:rPr>
                <w:rFonts w:asciiTheme="minorHAnsi" w:hAnsiTheme="minorHAnsi" w:cstheme="minorHAnsi"/>
                <w:b/>
                <w:bCs/>
                <w:sz w:val="22"/>
                <w:szCs w:val="22"/>
              </w:rPr>
              <w:t>Factor</w:t>
            </w:r>
          </w:p>
        </w:tc>
        <w:tc>
          <w:tcPr>
            <w:tcW w:w="4760" w:type="dxa"/>
            <w:tcBorders>
              <w:top w:val="single" w:sz="2" w:space="0" w:color="0D9488"/>
              <w:left w:val="single" w:sz="2" w:space="0" w:color="0D9488"/>
              <w:bottom w:val="single" w:sz="2" w:space="0" w:color="0D9488"/>
              <w:right w:val="single" w:sz="2" w:space="0" w:color="0D9488"/>
            </w:tcBorders>
            <w:shd w:val="clear" w:color="auto" w:fill="FFFFFF" w:themeFill="background1"/>
            <w:tcMar>
              <w:top w:w="60" w:type="dxa"/>
              <w:left w:w="120" w:type="dxa"/>
              <w:bottom w:w="60" w:type="dxa"/>
              <w:right w:w="120" w:type="dxa"/>
            </w:tcMar>
          </w:tcPr>
          <w:p w14:paraId="034C4C44" w14:textId="77777777" w:rsidR="000B1BAA" w:rsidRPr="00D43C17" w:rsidRDefault="00000000" w:rsidP="00D43C17">
            <w:pPr>
              <w:rPr>
                <w:rFonts w:asciiTheme="minorHAnsi" w:hAnsiTheme="minorHAnsi" w:cstheme="minorHAnsi"/>
                <w:b/>
                <w:bCs/>
                <w:sz w:val="22"/>
                <w:szCs w:val="22"/>
              </w:rPr>
            </w:pPr>
            <w:r w:rsidRPr="00D43C17">
              <w:rPr>
                <w:rFonts w:asciiTheme="minorHAnsi" w:hAnsiTheme="minorHAnsi" w:cstheme="minorHAnsi"/>
                <w:b/>
                <w:bCs/>
                <w:sz w:val="22"/>
                <w:szCs w:val="22"/>
              </w:rPr>
              <w:t>Detail</w:t>
            </w:r>
          </w:p>
        </w:tc>
      </w:tr>
      <w:tr w:rsidR="00D43C17" w:rsidRPr="00D43C17" w14:paraId="1DBC3843" w14:textId="77777777" w:rsidTr="00D43C17">
        <w:tblPrEx>
          <w:tblCellMar>
            <w:top w:w="0" w:type="dxa"/>
            <w:bottom w:w="0" w:type="dxa"/>
          </w:tblCellMar>
        </w:tblPrEx>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785429F7" w14:textId="7AA18FC0"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 xml:space="preserve"> Pre-payment FWA detection</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4FDAF37F" w14:textId="77777777" w:rsidR="000B1BAA" w:rsidRPr="00D43C17" w:rsidRDefault="00000000" w:rsidP="00D43C17">
            <w:pPr>
              <w:rPr>
                <w:rFonts w:asciiTheme="minorHAnsi" w:hAnsiTheme="minorHAnsi" w:cstheme="minorHAnsi"/>
                <w:sz w:val="22"/>
                <w:szCs w:val="22"/>
              </w:rPr>
            </w:pPr>
            <w:proofErr w:type="spellStart"/>
            <w:r w:rsidRPr="00D43C17">
              <w:rPr>
                <w:rFonts w:asciiTheme="minorHAnsi" w:hAnsiTheme="minorHAnsi" w:cstheme="minorHAnsi"/>
                <w:sz w:val="22"/>
                <w:szCs w:val="22"/>
              </w:rPr>
              <w:t>XGBoost</w:t>
            </w:r>
            <w:proofErr w:type="spellEnd"/>
            <w:r w:rsidRPr="00D43C17">
              <w:rPr>
                <w:rFonts w:asciiTheme="minorHAnsi" w:hAnsiTheme="minorHAnsi" w:cstheme="minorHAnsi"/>
                <w:sz w:val="22"/>
                <w:szCs w:val="22"/>
              </w:rPr>
              <w:t xml:space="preserve"> reviews 100% of claims before adjudication, catching fraud before payment leaves the payer.</w:t>
            </w:r>
          </w:p>
        </w:tc>
      </w:tr>
      <w:tr w:rsidR="00D43C17" w:rsidRPr="00D43C17" w14:paraId="09BB41DA" w14:textId="77777777" w:rsidTr="00D43C17">
        <w:tblPrEx>
          <w:tblCellMar>
            <w:top w:w="0" w:type="dxa"/>
            <w:bottom w:w="0" w:type="dxa"/>
          </w:tblCellMar>
        </w:tblPrEx>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58C7361C" w14:textId="24F8DF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 xml:space="preserve"> RAG-grounded policy briefs</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6D73ACDB"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Every flag is paired with retrieved policy citations — verifiable rationale, not opaque output.</w:t>
            </w:r>
          </w:p>
        </w:tc>
      </w:tr>
      <w:tr w:rsidR="00D43C17" w:rsidRPr="00D43C17" w14:paraId="0AE94853" w14:textId="77777777" w:rsidTr="00D43C17">
        <w:tblPrEx>
          <w:tblCellMar>
            <w:top w:w="0" w:type="dxa"/>
            <w:bottom w:w="0" w:type="dxa"/>
          </w:tblCellMar>
        </w:tblPrEx>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6FD9F812" w14:textId="7E051B65"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SHAP explainability</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180ECD5E"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Every prediction is accompanied by ranked contributing features, enabling human-in-the-loop review at scale.</w:t>
            </w:r>
          </w:p>
        </w:tc>
      </w:tr>
      <w:tr w:rsidR="00D43C17" w:rsidRPr="00D43C17" w14:paraId="2D505823" w14:textId="77777777" w:rsidTr="00D43C17">
        <w:tblPrEx>
          <w:tblCellMar>
            <w:top w:w="0" w:type="dxa"/>
            <w:bottom w:w="0" w:type="dxa"/>
          </w:tblCellMar>
        </w:tblPrEx>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32883BF8" w14:textId="3A8F9C4E"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 xml:space="preserve"> Modular SaaS deployment</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2F716C31"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Anomaly detection embeds directly into payer adjudication platforms with no full tech stack overhaul.</w:t>
            </w:r>
          </w:p>
        </w:tc>
      </w:tr>
      <w:tr w:rsidR="00D43C17" w:rsidRPr="00D43C17" w14:paraId="6A0595C2" w14:textId="77777777" w:rsidTr="00D43C17">
        <w:tblPrEx>
          <w:tblCellMar>
            <w:top w:w="0" w:type="dxa"/>
            <w:bottom w:w="0" w:type="dxa"/>
          </w:tblCellMar>
        </w:tblPrEx>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7E52035D" w14:textId="4A0EF310"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 xml:space="preserve"> FDA/CMS regulatory exposure</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2B580005"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Autonomous clinical AI decisions create compliance liability; human-in-the-loop design is required.</w:t>
            </w:r>
          </w:p>
        </w:tc>
      </w:tr>
      <w:tr w:rsidR="00D43C17" w:rsidRPr="00D43C17" w14:paraId="224C316A" w14:textId="77777777" w:rsidTr="00D43C17">
        <w:tblPrEx>
          <w:tblCellMar>
            <w:top w:w="0" w:type="dxa"/>
            <w:bottom w:w="0" w:type="dxa"/>
          </w:tblCellMar>
        </w:tblPrEx>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734F1A6D" w14:textId="1E15EC1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 xml:space="preserve"> HIPAA and data privacy</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3CB5B777"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Cloud LLM pipelines require de-identification and secure enclaves — adding infrastructure cost and complexity.</w:t>
            </w:r>
          </w:p>
        </w:tc>
      </w:tr>
      <w:tr w:rsidR="00D43C17" w:rsidRPr="00D43C17" w14:paraId="4A94D1D3" w14:textId="77777777" w:rsidTr="00D43C17">
        <w:tblPrEx>
          <w:tblCellMar>
            <w:top w:w="0" w:type="dxa"/>
            <w:bottom w:w="0" w:type="dxa"/>
          </w:tblCellMar>
        </w:tblPrEx>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60107989" w14:textId="4357E5C1"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 xml:space="preserve"> Model bias</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7313684A"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Models trained on historical claims risk perpetuating disparities in care access and coding practices across underserved populations.</w:t>
            </w:r>
          </w:p>
        </w:tc>
      </w:tr>
      <w:tr w:rsidR="00D43C17" w:rsidRPr="00D43C17" w14:paraId="154A26ED" w14:textId="77777777" w:rsidTr="00D43C17">
        <w:tblPrEx>
          <w:tblCellMar>
            <w:top w:w="0" w:type="dxa"/>
            <w:bottom w:w="0" w:type="dxa"/>
          </w:tblCellMar>
        </w:tblPrEx>
        <w:tc>
          <w:tcPr>
            <w:tcW w:w="4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4A4257B4" w14:textId="3DDF875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POC-to-production gap</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30" w:type="dxa"/>
              <w:left w:w="120" w:type="dxa"/>
              <w:bottom w:w="30" w:type="dxa"/>
              <w:right w:w="120" w:type="dxa"/>
            </w:tcMar>
          </w:tcPr>
          <w:p w14:paraId="6E2B7C3D"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Integration with legacy adjudication and EHR platforms remains the top organizational barrier across payer organizations.</w:t>
            </w:r>
          </w:p>
        </w:tc>
      </w:tr>
    </w:tbl>
    <w:p w14:paraId="58C401D3" w14:textId="77777777" w:rsidR="000B1BAA" w:rsidRPr="00D43C17" w:rsidRDefault="000B1BAA" w:rsidP="00D43C17">
      <w:pPr>
        <w:spacing w:after="220"/>
        <w:rPr>
          <w:rFonts w:asciiTheme="minorHAnsi" w:hAnsiTheme="minorHAnsi" w:cstheme="minorHAnsi"/>
        </w:rPr>
      </w:pPr>
    </w:p>
    <w:p w14:paraId="7286F08A" w14:textId="77777777" w:rsidR="000B1BAA" w:rsidRPr="00D43C17" w:rsidRDefault="00000000" w:rsidP="00D43C17">
      <w:pPr>
        <w:pStyle w:val="Heading1"/>
        <w:rPr>
          <w:rFonts w:asciiTheme="minorHAnsi" w:hAnsiTheme="minorHAnsi" w:cstheme="minorHAnsi"/>
          <w:color w:val="auto"/>
        </w:rPr>
      </w:pPr>
      <w:r w:rsidRPr="00D43C17">
        <w:rPr>
          <w:rFonts w:asciiTheme="minorHAnsi" w:hAnsiTheme="minorHAnsi" w:cstheme="minorHAnsi"/>
          <w:color w:val="auto"/>
        </w:rPr>
        <w:t>4.  Strategic Recommendations for Cotiviti</w:t>
      </w:r>
    </w:p>
    <w:p w14:paraId="3DC6C5C2" w14:textId="77777777" w:rsidR="000B1BAA" w:rsidRPr="00D43C17" w:rsidRDefault="000B1BAA" w:rsidP="00D43C17">
      <w:pPr>
        <w:spacing w:after="40"/>
        <w:rPr>
          <w:rFonts w:asciiTheme="minorHAnsi" w:hAnsiTheme="minorHAnsi" w:cstheme="minorHAnsi"/>
        </w:rPr>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260"/>
      </w:tblGrid>
      <w:tr w:rsidR="00D43C17" w:rsidRPr="00D43C17" w14:paraId="6F13D021" w14:textId="77777777" w:rsidTr="00D43C17">
        <w:tblPrEx>
          <w:tblCellMar>
            <w:top w:w="0" w:type="dxa"/>
            <w:bottom w:w="0" w:type="dxa"/>
          </w:tblCellMar>
        </w:tblPrEx>
        <w:tc>
          <w:tcPr>
            <w:tcW w:w="9260" w:type="dxa"/>
            <w:tcBorders>
              <w:top w:val="single" w:sz="4" w:space="0" w:color="0D9488"/>
              <w:left w:val="single" w:sz="4" w:space="0" w:color="0D9488"/>
              <w:bottom w:val="single" w:sz="4" w:space="0" w:color="0D9488"/>
              <w:right w:val="single" w:sz="4" w:space="0" w:color="0D9488"/>
            </w:tcBorders>
            <w:shd w:val="clear" w:color="auto" w:fill="FFFFFF" w:themeFill="background1"/>
            <w:tcMar>
              <w:top w:w="60" w:type="dxa"/>
              <w:left w:w="160" w:type="dxa"/>
              <w:bottom w:w="60" w:type="dxa"/>
              <w:right w:w="160" w:type="dxa"/>
            </w:tcMar>
          </w:tcPr>
          <w:p w14:paraId="0D9D8569" w14:textId="77777777" w:rsidR="000B1BAA" w:rsidRPr="00D43C17" w:rsidRDefault="00000000" w:rsidP="00D43C17">
            <w:pPr>
              <w:rPr>
                <w:rFonts w:asciiTheme="minorHAnsi" w:hAnsiTheme="minorHAnsi" w:cstheme="minorHAnsi"/>
                <w:b/>
                <w:bCs/>
                <w:sz w:val="22"/>
                <w:szCs w:val="22"/>
              </w:rPr>
            </w:pPr>
            <w:r w:rsidRPr="00D43C17">
              <w:rPr>
                <w:rFonts w:asciiTheme="minorHAnsi" w:hAnsiTheme="minorHAnsi" w:cstheme="minorHAnsi"/>
                <w:b/>
                <w:bCs/>
                <w:sz w:val="22"/>
                <w:szCs w:val="22"/>
              </w:rPr>
              <w:t>Recommendation 1 — Agentic Pre-Payment Integrity Engine</w:t>
            </w:r>
          </w:p>
        </w:tc>
      </w:tr>
      <w:tr w:rsidR="00D43C17" w:rsidRPr="00D43C17" w14:paraId="1E1CCC29" w14:textId="77777777" w:rsidTr="00D43C17">
        <w:tblPrEx>
          <w:tblCellMar>
            <w:top w:w="0" w:type="dxa"/>
            <w:bottom w:w="0" w:type="dxa"/>
          </w:tblCellMar>
        </w:tblPrEx>
        <w:tc>
          <w:tcPr>
            <w:tcW w:w="9260" w:type="dxa"/>
            <w:tcBorders>
              <w:top w:val="single" w:sz="4" w:space="0" w:color="0D9488"/>
              <w:left w:val="single" w:sz="4" w:space="0" w:color="0D9488"/>
              <w:bottom w:val="single" w:sz="4" w:space="0" w:color="0D9488"/>
              <w:right w:val="single" w:sz="4" w:space="0" w:color="0D9488"/>
            </w:tcBorders>
            <w:shd w:val="clear" w:color="auto" w:fill="FFFFFF" w:themeFill="background1"/>
            <w:tcMar>
              <w:top w:w="35" w:type="dxa"/>
              <w:left w:w="160" w:type="dxa"/>
              <w:bottom w:w="35" w:type="dxa"/>
              <w:right w:w="160" w:type="dxa"/>
            </w:tcMar>
          </w:tcPr>
          <w:p w14:paraId="66246AA9"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Build a 3-agent pipeline: Classifier Agent (</w:t>
            </w:r>
            <w:proofErr w:type="spellStart"/>
            <w:r w:rsidRPr="00D43C17">
              <w:rPr>
                <w:rFonts w:asciiTheme="minorHAnsi" w:hAnsiTheme="minorHAnsi" w:cstheme="minorHAnsi"/>
                <w:sz w:val="22"/>
                <w:szCs w:val="22"/>
              </w:rPr>
              <w:t>XGBoost</w:t>
            </w:r>
            <w:proofErr w:type="spellEnd"/>
            <w:r w:rsidRPr="00D43C17">
              <w:rPr>
                <w:rFonts w:asciiTheme="minorHAnsi" w:hAnsiTheme="minorHAnsi" w:cstheme="minorHAnsi"/>
                <w:sz w:val="22"/>
                <w:szCs w:val="22"/>
              </w:rPr>
              <w:t xml:space="preserve"> + SHAP) → RAG Agent (FAISS policy retrieval) → Summary Agent (structured clinical brief).</w:t>
            </w:r>
          </w:p>
        </w:tc>
      </w:tr>
      <w:tr w:rsidR="00D43C17" w:rsidRPr="00D43C17" w14:paraId="57A918C7" w14:textId="77777777" w:rsidTr="00D43C17">
        <w:tblPrEx>
          <w:tblCellMar>
            <w:top w:w="0" w:type="dxa"/>
            <w:bottom w:w="0" w:type="dxa"/>
          </w:tblCellMar>
        </w:tblPrEx>
        <w:tc>
          <w:tcPr>
            <w:tcW w:w="9260" w:type="dxa"/>
            <w:tcBorders>
              <w:top w:val="single" w:sz="4" w:space="0" w:color="0D9488"/>
              <w:left w:val="single" w:sz="4" w:space="0" w:color="0D9488"/>
              <w:bottom w:val="single" w:sz="4" w:space="0" w:color="0D9488"/>
              <w:right w:val="single" w:sz="4" w:space="0" w:color="0D9488"/>
            </w:tcBorders>
            <w:shd w:val="clear" w:color="auto" w:fill="FFFFFF" w:themeFill="background1"/>
            <w:tcMar>
              <w:top w:w="35" w:type="dxa"/>
              <w:left w:w="160" w:type="dxa"/>
              <w:bottom w:w="35" w:type="dxa"/>
              <w:right w:w="160" w:type="dxa"/>
            </w:tcMar>
          </w:tcPr>
          <w:p w14:paraId="51D0F08C" w14:textId="26D9610A"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 xml:space="preserve">Human-in-the-loop design: </w:t>
            </w:r>
            <w:proofErr w:type="gramStart"/>
            <w:r w:rsidRPr="00D43C17">
              <w:rPr>
                <w:rFonts w:asciiTheme="minorHAnsi" w:hAnsiTheme="minorHAnsi" w:cstheme="minorHAnsi"/>
                <w:sz w:val="22"/>
                <w:szCs w:val="22"/>
              </w:rPr>
              <w:t>agents</w:t>
            </w:r>
            <w:proofErr w:type="gramEnd"/>
            <w:r w:rsidRPr="00D43C17">
              <w:rPr>
                <w:rFonts w:asciiTheme="minorHAnsi" w:hAnsiTheme="minorHAnsi" w:cstheme="minorHAnsi"/>
                <w:sz w:val="22"/>
                <w:szCs w:val="22"/>
              </w:rPr>
              <w:t xml:space="preserve"> flag and explain; humans approve — aligning with Cotiviti's stated AI philosophy and extending the AI </w:t>
            </w:r>
            <w:r w:rsidR="00D43C17" w:rsidRPr="00D43C17">
              <w:rPr>
                <w:rFonts w:asciiTheme="minorHAnsi" w:hAnsiTheme="minorHAnsi" w:cstheme="minorHAnsi"/>
                <w:sz w:val="22"/>
                <w:szCs w:val="22"/>
              </w:rPr>
              <w:t>Centre</w:t>
            </w:r>
            <w:r w:rsidRPr="00D43C17">
              <w:rPr>
                <w:rFonts w:asciiTheme="minorHAnsi" w:hAnsiTheme="minorHAnsi" w:cstheme="minorHAnsi"/>
                <w:sz w:val="22"/>
                <w:szCs w:val="22"/>
              </w:rPr>
              <w:t xml:space="preserve"> of Excellence formalized in 2025.</w:t>
            </w:r>
          </w:p>
        </w:tc>
      </w:tr>
      <w:tr w:rsidR="00D43C17" w:rsidRPr="00D43C17" w14:paraId="64453F1D" w14:textId="77777777" w:rsidTr="00D43C17">
        <w:tblPrEx>
          <w:tblCellMar>
            <w:top w:w="0" w:type="dxa"/>
            <w:bottom w:w="0" w:type="dxa"/>
          </w:tblCellMar>
        </w:tblPrEx>
        <w:tc>
          <w:tcPr>
            <w:tcW w:w="9260" w:type="dxa"/>
            <w:tcBorders>
              <w:top w:val="single" w:sz="4" w:space="0" w:color="0D9488"/>
              <w:left w:val="single" w:sz="4" w:space="0" w:color="0D9488"/>
              <w:bottom w:val="single" w:sz="4" w:space="0" w:color="0D9488"/>
              <w:right w:val="single" w:sz="4" w:space="0" w:color="0D9488"/>
            </w:tcBorders>
            <w:shd w:val="clear" w:color="auto" w:fill="FFFFFF" w:themeFill="background1"/>
            <w:tcMar>
              <w:top w:w="35" w:type="dxa"/>
              <w:left w:w="160" w:type="dxa"/>
              <w:bottom w:w="35" w:type="dxa"/>
              <w:right w:w="160" w:type="dxa"/>
            </w:tcMar>
          </w:tcPr>
          <w:p w14:paraId="0D28760B"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Demonstrated feasibility: an accompanying proof-of-concept notebook implements this exact architecture and achieves strong real-world classification performance.</w:t>
            </w:r>
          </w:p>
        </w:tc>
      </w:tr>
    </w:tbl>
    <w:p w14:paraId="4F932170" w14:textId="77777777" w:rsidR="000B1BAA" w:rsidRPr="00D43C17" w:rsidRDefault="000B1BAA" w:rsidP="00D43C17">
      <w:pPr>
        <w:spacing w:after="100"/>
        <w:rPr>
          <w:rFonts w:asciiTheme="minorHAnsi" w:hAnsiTheme="minorHAnsi" w:cstheme="minorHAnsi"/>
        </w:rPr>
      </w:pP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260"/>
      </w:tblGrid>
      <w:tr w:rsidR="00D43C17" w:rsidRPr="00D43C17" w14:paraId="1400CDA6" w14:textId="77777777" w:rsidTr="00D43C17">
        <w:tblPrEx>
          <w:tblCellMar>
            <w:top w:w="0" w:type="dxa"/>
            <w:bottom w:w="0" w:type="dxa"/>
          </w:tblCellMar>
        </w:tblPrEx>
        <w:tc>
          <w:tcPr>
            <w:tcW w:w="9260" w:type="dxa"/>
            <w:tcBorders>
              <w:top w:val="single" w:sz="4" w:space="0" w:color="1A4B7A"/>
              <w:left w:val="single" w:sz="4" w:space="0" w:color="1A4B7A"/>
              <w:bottom w:val="single" w:sz="4" w:space="0" w:color="1A4B7A"/>
              <w:right w:val="single" w:sz="4" w:space="0" w:color="1A4B7A"/>
            </w:tcBorders>
            <w:shd w:val="clear" w:color="auto" w:fill="FFFFFF" w:themeFill="background1"/>
            <w:tcMar>
              <w:top w:w="60" w:type="dxa"/>
              <w:left w:w="160" w:type="dxa"/>
              <w:bottom w:w="60" w:type="dxa"/>
              <w:right w:w="160" w:type="dxa"/>
            </w:tcMar>
          </w:tcPr>
          <w:p w14:paraId="5A76A0B9" w14:textId="77777777" w:rsidR="000B1BAA" w:rsidRPr="00D43C17" w:rsidRDefault="00000000" w:rsidP="00D43C17">
            <w:pPr>
              <w:rPr>
                <w:rFonts w:asciiTheme="minorHAnsi" w:hAnsiTheme="minorHAnsi" w:cstheme="minorHAnsi"/>
                <w:b/>
                <w:bCs/>
                <w:sz w:val="22"/>
                <w:szCs w:val="22"/>
              </w:rPr>
            </w:pPr>
            <w:r w:rsidRPr="00D43C17">
              <w:rPr>
                <w:rFonts w:asciiTheme="minorHAnsi" w:hAnsiTheme="minorHAnsi" w:cstheme="minorHAnsi"/>
                <w:b/>
                <w:bCs/>
                <w:sz w:val="22"/>
                <w:szCs w:val="22"/>
              </w:rPr>
              <w:t>Recommendation 2 — Modular Anomaly Detection SaaS API</w:t>
            </w:r>
          </w:p>
        </w:tc>
      </w:tr>
      <w:tr w:rsidR="00D43C17" w:rsidRPr="00D43C17" w14:paraId="4C29D47B" w14:textId="77777777" w:rsidTr="00D43C17">
        <w:tblPrEx>
          <w:tblCellMar>
            <w:top w:w="0" w:type="dxa"/>
            <w:bottom w:w="0" w:type="dxa"/>
          </w:tblCellMar>
        </w:tblPrEx>
        <w:tc>
          <w:tcPr>
            <w:tcW w:w="9260" w:type="dxa"/>
            <w:tcBorders>
              <w:top w:val="single" w:sz="4" w:space="0" w:color="1A4B7A"/>
              <w:left w:val="single" w:sz="4" w:space="0" w:color="1A4B7A"/>
              <w:bottom w:val="single" w:sz="4" w:space="0" w:color="1A4B7A"/>
              <w:right w:val="single" w:sz="4" w:space="0" w:color="1A4B7A"/>
            </w:tcBorders>
            <w:shd w:val="clear" w:color="auto" w:fill="FFFFFF" w:themeFill="background1"/>
            <w:tcMar>
              <w:top w:w="35" w:type="dxa"/>
              <w:left w:w="160" w:type="dxa"/>
              <w:bottom w:w="35" w:type="dxa"/>
              <w:right w:w="160" w:type="dxa"/>
            </w:tcMar>
          </w:tcPr>
          <w:p w14:paraId="7DDE171E"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 xml:space="preserve">Package </w:t>
            </w:r>
            <w:proofErr w:type="spellStart"/>
            <w:r w:rsidRPr="00D43C17">
              <w:rPr>
                <w:rFonts w:asciiTheme="minorHAnsi" w:hAnsiTheme="minorHAnsi" w:cstheme="minorHAnsi"/>
                <w:sz w:val="22"/>
                <w:szCs w:val="22"/>
              </w:rPr>
              <w:t>XGBoost</w:t>
            </w:r>
            <w:proofErr w:type="spellEnd"/>
            <w:r w:rsidRPr="00D43C17">
              <w:rPr>
                <w:rFonts w:asciiTheme="minorHAnsi" w:hAnsiTheme="minorHAnsi" w:cstheme="minorHAnsi"/>
                <w:sz w:val="22"/>
                <w:szCs w:val="22"/>
              </w:rPr>
              <w:t xml:space="preserve"> anomaly scoring and SHAP explainability as an API-first SaaS module deployable into existing payer adjudication platforms.</w:t>
            </w:r>
          </w:p>
        </w:tc>
      </w:tr>
      <w:tr w:rsidR="00D43C17" w:rsidRPr="00D43C17" w14:paraId="757AF77C" w14:textId="77777777" w:rsidTr="00D43C17">
        <w:tblPrEx>
          <w:tblCellMar>
            <w:top w:w="0" w:type="dxa"/>
            <w:bottom w:w="0" w:type="dxa"/>
          </w:tblCellMar>
        </w:tblPrEx>
        <w:tc>
          <w:tcPr>
            <w:tcW w:w="9260" w:type="dxa"/>
            <w:tcBorders>
              <w:top w:val="single" w:sz="4" w:space="0" w:color="1A4B7A"/>
              <w:left w:val="single" w:sz="4" w:space="0" w:color="1A4B7A"/>
              <w:bottom w:val="single" w:sz="4" w:space="0" w:color="1A4B7A"/>
              <w:right w:val="single" w:sz="4" w:space="0" w:color="1A4B7A"/>
            </w:tcBorders>
            <w:shd w:val="clear" w:color="auto" w:fill="FFFFFF" w:themeFill="background1"/>
            <w:tcMar>
              <w:top w:w="35" w:type="dxa"/>
              <w:left w:w="160" w:type="dxa"/>
              <w:bottom w:w="35" w:type="dxa"/>
              <w:right w:w="160" w:type="dxa"/>
            </w:tcMar>
          </w:tcPr>
          <w:p w14:paraId="7BC952D0" w14:textId="77777777" w:rsidR="000B1BAA" w:rsidRPr="00D43C17" w:rsidRDefault="00000000" w:rsidP="00D43C17">
            <w:pPr>
              <w:rPr>
                <w:rFonts w:asciiTheme="minorHAnsi" w:hAnsiTheme="minorHAnsi" w:cstheme="minorHAnsi"/>
                <w:sz w:val="22"/>
                <w:szCs w:val="22"/>
              </w:rPr>
            </w:pPr>
            <w:r w:rsidRPr="00D43C17">
              <w:rPr>
                <w:rFonts w:asciiTheme="minorHAnsi" w:hAnsiTheme="minorHAnsi" w:cstheme="minorHAnsi"/>
                <w:sz w:val="22"/>
                <w:szCs w:val="22"/>
              </w:rPr>
              <w:t>Configurable thresholds and audit dashboards address payer demand for transparent AI, positioning Cotiviti ahead of anticipated CMS rules and reinforcing its PEAK Matrix 2025 Leader position.</w:t>
            </w:r>
          </w:p>
        </w:tc>
      </w:tr>
    </w:tbl>
    <w:p w14:paraId="09754F0E" w14:textId="77777777" w:rsidR="000B1BAA" w:rsidRPr="00D43C17" w:rsidRDefault="000B1BAA" w:rsidP="00D43C17">
      <w:pPr>
        <w:rPr>
          <w:rFonts w:asciiTheme="minorHAnsi" w:hAnsiTheme="minorHAnsi" w:cstheme="minorHAnsi"/>
        </w:rPr>
        <w:sectPr w:rsidR="000B1BAA" w:rsidRPr="00D43C17">
          <w:pgSz w:w="12240" w:h="15840"/>
          <w:pgMar w:top="1080" w:right="1260" w:bottom="1080" w:left="1260" w:header="708" w:footer="708" w:gutter="0"/>
          <w:cols w:space="720"/>
          <w:docGrid w:linePitch="360"/>
        </w:sectPr>
      </w:pPr>
    </w:p>
    <w:p w14:paraId="74667B10" w14:textId="77777777" w:rsidR="000B1BAA" w:rsidRPr="00D43C17" w:rsidRDefault="00000000" w:rsidP="00D43C17">
      <w:pPr>
        <w:pStyle w:val="Heading1"/>
        <w:rPr>
          <w:rFonts w:asciiTheme="minorHAnsi" w:hAnsiTheme="minorHAnsi" w:cstheme="minorHAnsi"/>
          <w:color w:val="auto"/>
        </w:rPr>
      </w:pPr>
      <w:r w:rsidRPr="00D43C17">
        <w:rPr>
          <w:rFonts w:asciiTheme="minorHAnsi" w:hAnsiTheme="minorHAnsi" w:cstheme="minorHAnsi"/>
          <w:color w:val="auto"/>
        </w:rPr>
        <w:t>Bibliography</w:t>
      </w:r>
    </w:p>
    <w:p w14:paraId="1A8C10BF"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Accenture. (2026). Agentic AI is transforming health insurance claims. Accenture Insurance Blog. https://insuranceblog.accenture.com/agentic-ai-transforming-claims-health-insurance</w:t>
      </w:r>
    </w:p>
    <w:p w14:paraId="0A6B33A6"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Andres, E., Escobar, C., &amp; Doi, K. (2025). Machine learning and artificial intelligence in clinical medicine — Trends, impact, and future directions. Journal of Clinical Medicine, 14(22), 8137. https://doi.org/10.3390/jcm14228137</w:t>
      </w:r>
    </w:p>
    <w:p w14:paraId="4DA92CFD" w14:textId="6A19AE6C"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 xml:space="preserve">Cotiviti. (2025). Cotiviti </w:t>
      </w:r>
      <w:r w:rsidR="00D43C17">
        <w:rPr>
          <w:rFonts w:asciiTheme="minorHAnsi" w:hAnsiTheme="minorHAnsi" w:cstheme="minorHAnsi"/>
          <w:sz w:val="21"/>
          <w:szCs w:val="21"/>
        </w:rPr>
        <w:t xml:space="preserve">was </w:t>
      </w:r>
      <w:r w:rsidRPr="00D43C17">
        <w:rPr>
          <w:rFonts w:asciiTheme="minorHAnsi" w:hAnsiTheme="minorHAnsi" w:cstheme="minorHAnsi"/>
          <w:sz w:val="21"/>
          <w:szCs w:val="21"/>
        </w:rPr>
        <w:t xml:space="preserve">named </w:t>
      </w:r>
      <w:r w:rsidR="00D43C17">
        <w:rPr>
          <w:rFonts w:asciiTheme="minorHAnsi" w:hAnsiTheme="minorHAnsi" w:cstheme="minorHAnsi"/>
          <w:sz w:val="21"/>
          <w:szCs w:val="21"/>
        </w:rPr>
        <w:t xml:space="preserve">the </w:t>
      </w:r>
      <w:r w:rsidRPr="00D43C17">
        <w:rPr>
          <w:rFonts w:asciiTheme="minorHAnsi" w:hAnsiTheme="minorHAnsi" w:cstheme="minorHAnsi"/>
          <w:sz w:val="21"/>
          <w:szCs w:val="21"/>
        </w:rPr>
        <w:t>highest-designated leader by Everest Group in the Payment Integrity Solutions PEAK Matrix Assessment 2025. https://www.cotiviti.com/press-release/cotiviti-named-highest-designated-leader</w:t>
      </w:r>
    </w:p>
    <w:p w14:paraId="6E2FBCE6"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Cotiviti. (2025). The practical landscape of AI in payment integrity and VBP. https://resources.cotiviti.com/payment-integrity/the-practical-landscape-of-ai-in-payment-integrity-and-vbp</w:t>
      </w:r>
    </w:p>
    <w:p w14:paraId="386EBF56"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Cotiviti. (2025). Podcast: Artificial intelligence in payment integrity. https://blog.cotiviti.com/podcast-artificial-intelligence-in-payment-integrity</w:t>
      </w:r>
    </w:p>
    <w:p w14:paraId="0BAF22C8"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Gartner. (2025). Hype cycle for U.S. healthcare payers, 2025. Gartner Research.</w:t>
      </w:r>
    </w:p>
    <w:p w14:paraId="58D612A5"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HIMSS. (2025). How AI is reshaping clinical decision-making in 2025. HIMSS Global Health Conference. https://www.himssconference.com/how-ai-is-reshaping-clinical-decision-making-in-2025/</w:t>
      </w:r>
    </w:p>
    <w:p w14:paraId="2796226E"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Intuition Labs. (2025). AI in hospitals: 2025 adoption trends and statistics. https://intuitionlabs.ai/pdfs/ai-in-hospitals-2025-adoption-trends-statistics.pdf</w:t>
      </w:r>
    </w:p>
    <w:p w14:paraId="45B38B4F"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 xml:space="preserve">National </w:t>
      </w:r>
      <w:proofErr w:type="spellStart"/>
      <w:r w:rsidRPr="00D43C17">
        <w:rPr>
          <w:rFonts w:asciiTheme="minorHAnsi" w:hAnsiTheme="minorHAnsi" w:cstheme="minorHAnsi"/>
          <w:sz w:val="21"/>
          <w:szCs w:val="21"/>
        </w:rPr>
        <w:t>Center</w:t>
      </w:r>
      <w:proofErr w:type="spellEnd"/>
      <w:r w:rsidRPr="00D43C17">
        <w:rPr>
          <w:rFonts w:asciiTheme="minorHAnsi" w:hAnsiTheme="minorHAnsi" w:cstheme="minorHAnsi"/>
          <w:sz w:val="21"/>
          <w:szCs w:val="21"/>
        </w:rPr>
        <w:t xml:space="preserve"> for Biotechnology Information. (2025). 2025 Watch list: Artificial intelligence in health care. NCBI Bookshelf. https://www.ncbi.nlm.nih.gov/books/NBK613808/</w:t>
      </w:r>
    </w:p>
    <w:p w14:paraId="13F43C21"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PwC Health Research Institute. (2025). Medical cost trends and payment integrity 2025. PricewaterhouseCoopers.</w:t>
      </w:r>
    </w:p>
    <w:p w14:paraId="1BB37D15"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Ricci, T. M. (2026). AI for insurance companies: 2026 costs, rules and roadmap. https://www.tommasomariaricci.com/blog/ai-for-insurance-companies</w:t>
      </w:r>
    </w:p>
    <w:p w14:paraId="4FD23FDB"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Zelis. (2025). A clinician's playbook for pre-payment integrity: AI that pays off. https://www.zelis.com/blog/ai-that-pays-off-a-clinicians-playbook-for-prepayment-integrity/</w:t>
      </w:r>
    </w:p>
    <w:p w14:paraId="4FE89B5C" w14:textId="77777777" w:rsidR="000B1BAA" w:rsidRPr="00D43C17" w:rsidRDefault="00000000" w:rsidP="00D43C17">
      <w:pPr>
        <w:spacing w:after="130"/>
        <w:ind w:left="720" w:hanging="720"/>
        <w:rPr>
          <w:rFonts w:asciiTheme="minorHAnsi" w:hAnsiTheme="minorHAnsi" w:cstheme="minorHAnsi"/>
        </w:rPr>
      </w:pPr>
      <w:r w:rsidRPr="00D43C17">
        <w:rPr>
          <w:rFonts w:asciiTheme="minorHAnsi" w:hAnsiTheme="minorHAnsi" w:cstheme="minorHAnsi"/>
          <w:sz w:val="21"/>
          <w:szCs w:val="21"/>
        </w:rPr>
        <w:t xml:space="preserve">Zhang, Y., &amp; Li, S. (2025). A collection of innovations in medical AI for patient records in 2024. </w:t>
      </w:r>
      <w:proofErr w:type="spellStart"/>
      <w:r w:rsidRPr="00D43C17">
        <w:rPr>
          <w:rFonts w:asciiTheme="minorHAnsi" w:hAnsiTheme="minorHAnsi" w:cstheme="minorHAnsi"/>
          <w:sz w:val="21"/>
          <w:szCs w:val="21"/>
        </w:rPr>
        <w:t>arXiv</w:t>
      </w:r>
      <w:proofErr w:type="spellEnd"/>
      <w:r w:rsidRPr="00D43C17">
        <w:rPr>
          <w:rFonts w:asciiTheme="minorHAnsi" w:hAnsiTheme="minorHAnsi" w:cstheme="minorHAnsi"/>
          <w:sz w:val="21"/>
          <w:szCs w:val="21"/>
        </w:rPr>
        <w:t>. https://arxiv.org/pdf/2503.05768</w:t>
      </w:r>
    </w:p>
    <w:p w14:paraId="299CFA5B" w14:textId="77777777" w:rsidR="000B1BAA" w:rsidRPr="00D43C17" w:rsidRDefault="000B1BAA" w:rsidP="00D43C17">
      <w:pPr>
        <w:spacing w:after="260"/>
        <w:rPr>
          <w:rFonts w:asciiTheme="minorHAnsi" w:hAnsiTheme="minorHAnsi" w:cstheme="minorHAnsi"/>
        </w:rPr>
      </w:pPr>
    </w:p>
    <w:p w14:paraId="759BE6AB" w14:textId="213C7F3E" w:rsidR="000B1BAA" w:rsidRPr="00D43C17" w:rsidRDefault="00000000" w:rsidP="00D43C17">
      <w:pPr>
        <w:spacing w:after="140"/>
        <w:jc w:val="both"/>
        <w:rPr>
          <w:rFonts w:asciiTheme="minorHAnsi" w:hAnsiTheme="minorHAnsi" w:cstheme="minorHAnsi"/>
        </w:rPr>
      </w:pPr>
      <w:r w:rsidRPr="00D43C17">
        <w:rPr>
          <w:rFonts w:asciiTheme="minorHAnsi" w:hAnsiTheme="minorHAnsi" w:cstheme="minorHAnsi"/>
          <w:sz w:val="21"/>
          <w:szCs w:val="21"/>
        </w:rPr>
        <w:t>.</w:t>
      </w:r>
    </w:p>
    <w:sectPr w:rsidR="000B1BAA" w:rsidRPr="00D43C1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E2201"/>
    <w:multiLevelType w:val="hybridMultilevel"/>
    <w:tmpl w:val="5CCA12D6"/>
    <w:lvl w:ilvl="0" w:tplc="F0A0EFDC">
      <w:start w:val="1"/>
      <w:numFmt w:val="bullet"/>
      <w:lvlText w:val="•"/>
      <w:lvlJc w:val="left"/>
      <w:pPr>
        <w:ind w:left="720" w:hanging="360"/>
      </w:pPr>
    </w:lvl>
    <w:lvl w:ilvl="1" w:tplc="544662FC">
      <w:numFmt w:val="decimal"/>
      <w:lvlText w:val=""/>
      <w:lvlJc w:val="left"/>
    </w:lvl>
    <w:lvl w:ilvl="2" w:tplc="EE200500">
      <w:numFmt w:val="decimal"/>
      <w:lvlText w:val=""/>
      <w:lvlJc w:val="left"/>
    </w:lvl>
    <w:lvl w:ilvl="3" w:tplc="31EA38AE">
      <w:numFmt w:val="decimal"/>
      <w:lvlText w:val=""/>
      <w:lvlJc w:val="left"/>
    </w:lvl>
    <w:lvl w:ilvl="4" w:tplc="E16EBBDE">
      <w:numFmt w:val="decimal"/>
      <w:lvlText w:val=""/>
      <w:lvlJc w:val="left"/>
    </w:lvl>
    <w:lvl w:ilvl="5" w:tplc="DE146090">
      <w:numFmt w:val="decimal"/>
      <w:lvlText w:val=""/>
      <w:lvlJc w:val="left"/>
    </w:lvl>
    <w:lvl w:ilvl="6" w:tplc="FAAC3CF6">
      <w:numFmt w:val="decimal"/>
      <w:lvlText w:val=""/>
      <w:lvlJc w:val="left"/>
    </w:lvl>
    <w:lvl w:ilvl="7" w:tplc="2AA68CFC">
      <w:numFmt w:val="decimal"/>
      <w:lvlText w:val=""/>
      <w:lvlJc w:val="left"/>
    </w:lvl>
    <w:lvl w:ilvl="8" w:tplc="099871F2">
      <w:numFmt w:val="decimal"/>
      <w:lvlText w:val=""/>
      <w:lvlJc w:val="left"/>
    </w:lvl>
  </w:abstractNum>
  <w:abstractNum w:abstractNumId="1" w15:restartNumberingAfterBreak="0">
    <w:nsid w:val="6D565E19"/>
    <w:multiLevelType w:val="hybridMultilevel"/>
    <w:tmpl w:val="9454D868"/>
    <w:lvl w:ilvl="0" w:tplc="AA9EF2A8">
      <w:start w:val="1"/>
      <w:numFmt w:val="bullet"/>
      <w:lvlText w:val="●"/>
      <w:lvlJc w:val="left"/>
      <w:pPr>
        <w:ind w:left="720" w:hanging="360"/>
      </w:pPr>
    </w:lvl>
    <w:lvl w:ilvl="1" w:tplc="9CD65E7C">
      <w:start w:val="1"/>
      <w:numFmt w:val="bullet"/>
      <w:lvlText w:val="○"/>
      <w:lvlJc w:val="left"/>
      <w:pPr>
        <w:ind w:left="1440" w:hanging="360"/>
      </w:pPr>
    </w:lvl>
    <w:lvl w:ilvl="2" w:tplc="298E89A6">
      <w:start w:val="1"/>
      <w:numFmt w:val="bullet"/>
      <w:lvlText w:val="■"/>
      <w:lvlJc w:val="left"/>
      <w:pPr>
        <w:ind w:left="2160" w:hanging="360"/>
      </w:pPr>
    </w:lvl>
    <w:lvl w:ilvl="3" w:tplc="0F34A68A">
      <w:start w:val="1"/>
      <w:numFmt w:val="bullet"/>
      <w:lvlText w:val="●"/>
      <w:lvlJc w:val="left"/>
      <w:pPr>
        <w:ind w:left="2880" w:hanging="360"/>
      </w:pPr>
    </w:lvl>
    <w:lvl w:ilvl="4" w:tplc="A57055F0">
      <w:start w:val="1"/>
      <w:numFmt w:val="bullet"/>
      <w:lvlText w:val="○"/>
      <w:lvlJc w:val="left"/>
      <w:pPr>
        <w:ind w:left="3600" w:hanging="360"/>
      </w:pPr>
    </w:lvl>
    <w:lvl w:ilvl="5" w:tplc="5454958A">
      <w:start w:val="1"/>
      <w:numFmt w:val="bullet"/>
      <w:lvlText w:val="■"/>
      <w:lvlJc w:val="left"/>
      <w:pPr>
        <w:ind w:left="4320" w:hanging="360"/>
      </w:pPr>
    </w:lvl>
    <w:lvl w:ilvl="6" w:tplc="6FD2268E">
      <w:start w:val="1"/>
      <w:numFmt w:val="bullet"/>
      <w:lvlText w:val="●"/>
      <w:lvlJc w:val="left"/>
      <w:pPr>
        <w:ind w:left="5040" w:hanging="360"/>
      </w:pPr>
    </w:lvl>
    <w:lvl w:ilvl="7" w:tplc="7D60368E">
      <w:start w:val="1"/>
      <w:numFmt w:val="bullet"/>
      <w:lvlText w:val="●"/>
      <w:lvlJc w:val="left"/>
      <w:pPr>
        <w:ind w:left="5760" w:hanging="360"/>
      </w:pPr>
    </w:lvl>
    <w:lvl w:ilvl="8" w:tplc="401E0F74">
      <w:start w:val="1"/>
      <w:numFmt w:val="bullet"/>
      <w:lvlText w:val="●"/>
      <w:lvlJc w:val="left"/>
      <w:pPr>
        <w:ind w:left="6480" w:hanging="360"/>
      </w:pPr>
    </w:lvl>
  </w:abstractNum>
  <w:num w:numId="1" w16cid:durableId="788546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BAA"/>
    <w:rsid w:val="000B1BAA"/>
    <w:rsid w:val="0059560A"/>
    <w:rsid w:val="00D43C17"/>
    <w:rsid w:val="00D61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01157"/>
  <w15:docId w15:val="{B50B7BD0-DE2B-42D4-90CA-023A8F6B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A3A5C"/>
      <w:sz w:val="30"/>
      <w:szCs w:val="30"/>
    </w:rPr>
  </w:style>
  <w:style w:type="paragraph" w:styleId="Heading2">
    <w:name w:val="heading 2"/>
    <w:uiPriority w:val="9"/>
    <w:unhideWhenUsed/>
    <w:qFormat/>
    <w:pPr>
      <w:spacing w:before="180" w:after="80"/>
      <w:outlineLvl w:val="1"/>
    </w:pPr>
    <w:rPr>
      <w:b/>
      <w:bCs/>
      <w:color w:val="0D9488"/>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1136</Words>
  <Characters>6476</Characters>
  <Application>Microsoft Office Word</Application>
  <DocSecurity>0</DocSecurity>
  <Lines>53</Lines>
  <Paragraphs>15</Paragraphs>
  <ScaleCrop>false</ScaleCrop>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Vardhan Sunkara</dc:creator>
  <cp:lastModifiedBy>sree vardhan</cp:lastModifiedBy>
  <cp:revision>2</cp:revision>
  <dcterms:created xsi:type="dcterms:W3CDTF">2026-06-30T17:13:00Z</dcterms:created>
  <dcterms:modified xsi:type="dcterms:W3CDTF">2026-06-30T17:13:00Z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6c9ba107-7b0c-416a-8e77-a8cf0961977d</vt:lpwstr>
  </property>
</Properties>
</file>