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s6gyg2zg6gro"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Domain</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2f5496"/>
          <w:sz w:val="36"/>
          <w:szCs w:val="36"/>
        </w:rPr>
      </w:pPr>
      <w:r w:rsidDel="00000000" w:rsidR="00000000" w:rsidRPr="00000000">
        <w:rPr>
          <w:rFonts w:ascii="Times New Roman" w:cs="Times New Roman" w:eastAsia="Times New Roman" w:hAnsi="Times New Roman"/>
          <w:b w:val="1"/>
          <w:color w:val="2f5496"/>
          <w:sz w:val="36"/>
          <w:szCs w:val="36"/>
          <w:rtl w:val="0"/>
        </w:rPr>
        <w:t xml:space="preserve">INSURANCE RISK &amp; CLAIMS ANALYSIS</w:t>
      </w:r>
    </w:p>
    <w:p w:rsidR="00000000" w:rsidDel="00000000" w:rsidP="00000000" w:rsidRDefault="00000000" w:rsidRPr="00000000" w14:paraId="00000003">
      <w:pPr>
        <w:spacing w:line="360" w:lineRule="auto"/>
        <w:jc w:val="center"/>
        <w:rPr>
          <w:rFonts w:ascii="Times New Roman" w:cs="Times New Roman" w:eastAsia="Times New Roman" w:hAnsi="Times New Roman"/>
          <w:b w:val="1"/>
          <w:color w:val="002060"/>
          <w:sz w:val="32"/>
          <w:szCs w:val="32"/>
        </w:rPr>
      </w:pPr>
      <w:r w:rsidDel="00000000" w:rsidR="00000000" w:rsidRPr="00000000">
        <w:rPr>
          <w:rFonts w:ascii="Times New Roman" w:cs="Times New Roman" w:eastAsia="Times New Roman" w:hAnsi="Times New Roman"/>
          <w:b w:val="1"/>
          <w:color w:val="002060"/>
          <w:sz w:val="32"/>
          <w:szCs w:val="32"/>
          <w:highlight w:val="yellow"/>
          <w:rtl w:val="0"/>
        </w:rPr>
        <w:t xml:space="preserve">DOMAIN DOCUMENT</w:t>
      </w:r>
      <w:r w:rsidDel="00000000" w:rsidR="00000000" w:rsidRPr="00000000">
        <w:rPr>
          <w:rtl w:val="0"/>
        </w:rPr>
      </w:r>
    </w:p>
    <w:p w:rsidR="00000000" w:rsidDel="00000000" w:rsidP="00000000" w:rsidRDefault="00000000" w:rsidRPr="00000000" w14:paraId="00000004">
      <w:pPr>
        <w:spacing w:after="160"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This dataset contains detailed information about car insurance policyholders, their vehicles, and their claim history. Each record represents an individual customer with demographic details such as birthdate, gender, marital status, education level, household income, and parental status. These attributes provide a strong basis for understanding customer profiles and how personal characteristics may influence driving behaviour and insurance risk.</w:t>
      </w:r>
    </w:p>
    <w:p w:rsidR="00000000" w:rsidDel="00000000" w:rsidP="00000000" w:rsidRDefault="00000000" w:rsidRPr="00000000" w14:paraId="00000005">
      <w:pPr>
        <w:spacing w:after="160"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The dataset also captures rich details about the insured vehicle, including car make, model, colour, year of manufacture, and usage type (personal, commercial, or commuting). Combined with the coverage zone, this information helps in assessing environmental and vehicle-related risk factors. For example, an older car used for commercial purposes in an urban area may carry a different risk profile compared to a new personal car in a rural zone.</w:t>
      </w:r>
    </w:p>
    <w:p w:rsidR="00000000" w:rsidDel="00000000" w:rsidP="00000000" w:rsidRDefault="00000000" w:rsidRPr="00000000" w14:paraId="00000006">
      <w:pPr>
        <w:spacing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On the financial and claims side, the dataset includes claim amount (total cost of claims filed), claim frequency (number of claims filed), and household income. These fields are critical in evaluating customer value and risk. High-frequency claimants may signal higher risk, while high claim amounts could indicate severe accidents or expensive repairs. The Kids Driving field adds another dimension, reflecting household driving behavior, since households with multiple young drivers are typically considered riskier by insurers.</w:t>
      </w:r>
    </w:p>
    <w:p w:rsidR="00000000" w:rsidDel="00000000" w:rsidP="00000000" w:rsidRDefault="00000000" w:rsidRPr="00000000" w14:paraId="00000007">
      <w:pPr>
        <w:spacing w:line="360" w:lineRule="auto"/>
        <w:jc w:val="both"/>
        <w:rPr>
          <w:rFonts w:ascii="Times New Roman" w:cs="Times New Roman" w:eastAsia="Times New Roman" w:hAnsi="Times New Roman"/>
          <w:color w:val="002060"/>
          <w:sz w:val="24"/>
          <w:szCs w:val="24"/>
        </w:rPr>
      </w:pPr>
      <w:r w:rsidDel="00000000" w:rsidR="00000000" w:rsidRPr="00000000">
        <w:rPr>
          <w:rFonts w:ascii="Times New Roman" w:cs="Times New Roman" w:eastAsia="Times New Roman" w:hAnsi="Times New Roman"/>
          <w:color w:val="002060"/>
          <w:sz w:val="24"/>
          <w:szCs w:val="24"/>
          <w:rtl w:val="0"/>
        </w:rPr>
        <w:t xml:space="preserve">Overall, this dataset offers a comprehensive view of customers, vehicles, and claims. It can be used to build Power BI dashboards for claims analysis, customer segmentation, risk profiling, and premium optimization. Insights derived from the data can help insurance companies design fairer pricing models, identify high-risk segments, detect potential fraud, and improve customer targeting strategies.</w:t>
      </w:r>
    </w:p>
    <w:p w:rsidR="00000000" w:rsidDel="00000000" w:rsidP="00000000" w:rsidRDefault="00000000" w:rsidRPr="00000000" w14:paraId="00000008">
      <w:pPr>
        <w:spacing w:line="360" w:lineRule="auto"/>
        <w:rPr>
          <w:rFonts w:ascii="Times New Roman" w:cs="Times New Roman" w:eastAsia="Times New Roman" w:hAnsi="Times New Roman"/>
          <w:b w:val="1"/>
          <w:color w:val="002060"/>
          <w:sz w:val="32"/>
          <w:szCs w:val="32"/>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ID</w:t>
      </w:r>
    </w:p>
    <w:p w:rsidR="00000000" w:rsidDel="00000000" w:rsidP="00000000" w:rsidRDefault="00000000" w:rsidRPr="00000000" w14:paraId="0000000A">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 unique identifier assigned to each policyholder or insurance record.</w:t>
      </w:r>
    </w:p>
    <w:p w:rsidR="00000000" w:rsidDel="00000000" w:rsidP="00000000" w:rsidRDefault="00000000" w:rsidRPr="00000000" w14:paraId="0000000B">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or text (Primary Key).</w:t>
      </w:r>
    </w:p>
    <w:p w:rsidR="00000000" w:rsidDel="00000000" w:rsidP="00000000" w:rsidRDefault="00000000" w:rsidRPr="00000000" w14:paraId="0000000C">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0D">
      <w:pPr>
        <w:numPr>
          <w:ilvl w:val="1"/>
          <w:numId w:val="1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Ensures each policy/customer record is unique.</w:t>
      </w:r>
    </w:p>
    <w:p w:rsidR="00000000" w:rsidDel="00000000" w:rsidP="00000000" w:rsidRDefault="00000000" w:rsidRPr="00000000" w14:paraId="0000000E">
      <w:pPr>
        <w:numPr>
          <w:ilvl w:val="1"/>
          <w:numId w:val="1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used directly in analysis but essential for data integrity, relationships, and avoiding duplicates.</w:t>
      </w:r>
    </w:p>
    <w:p w:rsidR="00000000" w:rsidDel="00000000" w:rsidP="00000000" w:rsidRDefault="00000000" w:rsidRPr="00000000" w14:paraId="0000000F">
      <w:pPr>
        <w:numPr>
          <w:ilvl w:val="0"/>
          <w:numId w:val="1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Fonts w:ascii="Times New Roman" w:cs="Times New Roman" w:eastAsia="Times New Roman" w:hAnsi="Times New Roman"/>
          <w:sz w:val="24"/>
          <w:szCs w:val="24"/>
          <w:rtl w:val="0"/>
        </w:rPr>
        <w:t xml:space="preserve"> Helps track individual policyholders across multiple datasets (e.g., linking claims, payments, or renewals).</w:t>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Birthdate</w:t>
      </w:r>
    </w:p>
    <w:p w:rsidR="00000000" w:rsidDel="00000000" w:rsidP="00000000" w:rsidRDefault="00000000" w:rsidRPr="00000000" w14:paraId="00000012">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Date of birth of the policyholder.</w:t>
      </w:r>
    </w:p>
    <w:p w:rsidR="00000000" w:rsidDel="00000000" w:rsidP="00000000" w:rsidRDefault="00000000" w:rsidRPr="00000000" w14:paraId="00000013">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Date.</w:t>
      </w:r>
    </w:p>
    <w:p w:rsidR="00000000" w:rsidDel="00000000" w:rsidP="00000000" w:rsidRDefault="00000000" w:rsidRPr="00000000" w14:paraId="00000014">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15">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calculate the </w:t>
      </w:r>
      <w:r w:rsidDel="00000000" w:rsidR="00000000" w:rsidRPr="00000000">
        <w:rPr>
          <w:rFonts w:ascii="Times New Roman" w:cs="Times New Roman" w:eastAsia="Times New Roman" w:hAnsi="Times New Roman"/>
          <w:b w:val="1"/>
          <w:sz w:val="24"/>
          <w:szCs w:val="24"/>
          <w:rtl w:val="0"/>
        </w:rPr>
        <w:t xml:space="preserve">Age</w:t>
      </w:r>
      <w:r w:rsidDel="00000000" w:rsidR="00000000" w:rsidRPr="00000000">
        <w:rPr>
          <w:rFonts w:ascii="Times New Roman" w:cs="Times New Roman" w:eastAsia="Times New Roman" w:hAnsi="Times New Roman"/>
          <w:sz w:val="24"/>
          <w:szCs w:val="24"/>
          <w:rtl w:val="0"/>
        </w:rPr>
        <w:t xml:space="preserve"> of the policyholder.</w:t>
      </w:r>
    </w:p>
    <w:p w:rsidR="00000000" w:rsidDel="00000000" w:rsidP="00000000" w:rsidRDefault="00000000" w:rsidRPr="00000000" w14:paraId="00000016">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 is a strong factor in insurance risk assessment (younger drivers may have more accidents, older drivers may have slower reflexes).</w:t>
      </w:r>
    </w:p>
    <w:p w:rsidR="00000000" w:rsidDel="00000000" w:rsidP="00000000" w:rsidRDefault="00000000" w:rsidRPr="00000000" w14:paraId="00000017">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18">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customers into age groups (e.g., &lt;25, 25–40, 40–60, 60+).</w:t>
      </w:r>
    </w:p>
    <w:p w:rsidR="00000000" w:rsidDel="00000000" w:rsidP="00000000" w:rsidRDefault="00000000" w:rsidRPr="00000000" w14:paraId="00000019">
      <w:pPr>
        <w:numPr>
          <w:ilvl w:val="1"/>
          <w:numId w:val="7"/>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Age-based pricing of premiums and risk profiling.</w:t>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Car Color</w:t>
      </w:r>
    </w:p>
    <w:p w:rsidR="00000000" w:rsidDel="00000000" w:rsidP="00000000" w:rsidRDefault="00000000" w:rsidRPr="00000000" w14:paraId="0000001C">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exterior color of the insured car.</w:t>
      </w:r>
    </w:p>
    <w:p w:rsidR="00000000" w:rsidDel="00000000" w:rsidP="00000000" w:rsidRDefault="00000000" w:rsidRPr="00000000" w14:paraId="0000001D">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 (text).</w:t>
      </w:r>
    </w:p>
    <w:p w:rsidR="00000000" w:rsidDel="00000000" w:rsidP="00000000" w:rsidRDefault="00000000" w:rsidRPr="00000000" w14:paraId="0000001E">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1F">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color doesn’t directly affect risk, it can influence </w:t>
      </w:r>
      <w:r w:rsidDel="00000000" w:rsidR="00000000" w:rsidRPr="00000000">
        <w:rPr>
          <w:rFonts w:ascii="Times New Roman" w:cs="Times New Roman" w:eastAsia="Times New Roman" w:hAnsi="Times New Roman"/>
          <w:b w:val="1"/>
          <w:sz w:val="24"/>
          <w:szCs w:val="24"/>
          <w:rtl w:val="0"/>
        </w:rPr>
        <w:t xml:space="preserve">car visibility, theft probability, and customer preferences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21">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patterns (e.g., some studies suggest red cars might be involved in more speeding cases).</w:t>
      </w:r>
    </w:p>
    <w:p w:rsidR="00000000" w:rsidDel="00000000" w:rsidP="00000000" w:rsidRDefault="00000000" w:rsidRPr="00000000" w14:paraId="00000022">
      <w:pPr>
        <w:numPr>
          <w:ilvl w:val="1"/>
          <w:numId w:val="3"/>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for fraud detection (unusual color-claim patterns).</w:t>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Car Make</w:t>
      </w:r>
    </w:p>
    <w:p w:rsidR="00000000" w:rsidDel="00000000" w:rsidP="00000000" w:rsidRDefault="00000000" w:rsidRPr="00000000" w14:paraId="00000025">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manufacturer/brand of the car (e.g., Toyota, Ford, BMW).</w:t>
      </w:r>
    </w:p>
    <w:p w:rsidR="00000000" w:rsidDel="00000000" w:rsidP="00000000" w:rsidRDefault="00000000" w:rsidRPr="00000000" w14:paraId="00000026">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27">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28">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makes have varying repair costs and accident likelihood.</w:t>
      </w:r>
    </w:p>
    <w:p w:rsidR="00000000" w:rsidDel="00000000" w:rsidP="00000000" w:rsidRDefault="00000000" w:rsidRPr="00000000" w14:paraId="00000029">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2A">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claims by car brand.</w:t>
      </w:r>
    </w:p>
    <w:p w:rsidR="00000000" w:rsidDel="00000000" w:rsidP="00000000" w:rsidRDefault="00000000" w:rsidRPr="00000000" w14:paraId="0000002B">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which brands have higher claim frequency (riskier) vs lower claims (safer).</w:t>
      </w:r>
    </w:p>
    <w:p w:rsidR="00000000" w:rsidDel="00000000" w:rsidP="00000000" w:rsidRDefault="00000000" w:rsidRPr="00000000" w14:paraId="0000002C">
      <w:pPr>
        <w:numPr>
          <w:ilvl w:val="1"/>
          <w:numId w:val="1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underwriting and premium adjustments.</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Car Model</w:t>
      </w:r>
    </w:p>
    <w:p w:rsidR="00000000" w:rsidDel="00000000" w:rsidP="00000000" w:rsidRDefault="00000000" w:rsidRPr="00000000" w14:paraId="0000002F">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Specific model of the car (e.g., Toyota Corolla, BMW X5).</w:t>
      </w:r>
    </w:p>
    <w:p w:rsidR="00000000" w:rsidDel="00000000" w:rsidP="00000000" w:rsidRDefault="00000000" w:rsidRPr="00000000" w14:paraId="00000030">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31">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32">
      <w:pPr>
        <w:numPr>
          <w:ilvl w:val="1"/>
          <w:numId w:val="1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deeper granularity beyond car make.</w:t>
      </w:r>
    </w:p>
    <w:p w:rsidR="00000000" w:rsidDel="00000000" w:rsidP="00000000" w:rsidRDefault="00000000" w:rsidRPr="00000000" w14:paraId="00000033">
      <w:pPr>
        <w:numPr>
          <w:ilvl w:val="1"/>
          <w:numId w:val="1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Claim risk can vary significantly between models of the same make.</w:t>
      </w:r>
    </w:p>
    <w:p w:rsidR="00000000" w:rsidDel="00000000" w:rsidP="00000000" w:rsidRDefault="00000000" w:rsidRPr="00000000" w14:paraId="00000034">
      <w:pPr>
        <w:numPr>
          <w:ilvl w:val="0"/>
          <w:numId w:val="1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35">
      <w:pPr>
        <w:numPr>
          <w:ilvl w:val="1"/>
          <w:numId w:val="1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claims for luxury vs economy models.</w:t>
      </w:r>
    </w:p>
    <w:p w:rsidR="00000000" w:rsidDel="00000000" w:rsidP="00000000" w:rsidRDefault="00000000" w:rsidRPr="00000000" w14:paraId="00000036">
      <w:pPr>
        <w:numPr>
          <w:ilvl w:val="1"/>
          <w:numId w:val="1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w:t>
      </w:r>
      <w:r w:rsidDel="00000000" w:rsidR="00000000" w:rsidRPr="00000000">
        <w:rPr>
          <w:rFonts w:ascii="Times New Roman" w:cs="Times New Roman" w:eastAsia="Times New Roman" w:hAnsi="Times New Roman"/>
          <w:b w:val="1"/>
          <w:sz w:val="24"/>
          <w:szCs w:val="24"/>
          <w:rtl w:val="0"/>
        </w:rPr>
        <w:t xml:space="preserve">loss ratio</w:t>
      </w:r>
      <w:r w:rsidDel="00000000" w:rsidR="00000000" w:rsidRPr="00000000">
        <w:rPr>
          <w:rFonts w:ascii="Times New Roman" w:cs="Times New Roman" w:eastAsia="Times New Roman" w:hAnsi="Times New Roman"/>
          <w:sz w:val="24"/>
          <w:szCs w:val="24"/>
          <w:rtl w:val="0"/>
        </w:rPr>
        <w:t xml:space="preserve"> analysis by vehicle type.</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Car Use</w:t>
      </w:r>
    </w:p>
    <w:p w:rsidR="00000000" w:rsidDel="00000000" w:rsidP="00000000" w:rsidRDefault="00000000" w:rsidRPr="00000000" w14:paraId="00000039">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primary purpose of the car (e.g., Personal, Commercial, Commute).</w:t>
      </w:r>
    </w:p>
    <w:p w:rsidR="00000000" w:rsidDel="00000000" w:rsidP="00000000" w:rsidRDefault="00000000" w:rsidRPr="00000000" w14:paraId="0000003A">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3B">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3C">
      <w:pPr>
        <w:numPr>
          <w:ilvl w:val="1"/>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and commuting cars usually have higher claim rates due to greater exposure (more time on the road).</w:t>
      </w:r>
    </w:p>
    <w:p w:rsidR="00000000" w:rsidDel="00000000" w:rsidP="00000000" w:rsidRDefault="00000000" w:rsidRPr="00000000" w14:paraId="0000003D">
      <w:pPr>
        <w:numPr>
          <w:ilvl w:val="0"/>
          <w:numId w:val="1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3E">
      <w:pPr>
        <w:numPr>
          <w:ilvl w:val="1"/>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Pricing policies differently for personal vs commercial use.</w:t>
      </w:r>
    </w:p>
    <w:p w:rsidR="00000000" w:rsidDel="00000000" w:rsidP="00000000" w:rsidRDefault="00000000" w:rsidRPr="00000000" w14:paraId="0000003F">
      <w:pPr>
        <w:numPr>
          <w:ilvl w:val="1"/>
          <w:numId w:val="1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profiling based on usage patterns.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Car Year</w:t>
      </w:r>
    </w:p>
    <w:p w:rsidR="00000000" w:rsidDel="00000000" w:rsidP="00000000" w:rsidRDefault="00000000" w:rsidRPr="00000000" w14:paraId="00000042">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manufacturing year of the car.</w:t>
      </w:r>
    </w:p>
    <w:p w:rsidR="00000000" w:rsidDel="00000000" w:rsidP="00000000" w:rsidRDefault="00000000" w:rsidRPr="00000000" w14:paraId="00000043">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w:t>
      </w:r>
    </w:p>
    <w:p w:rsidR="00000000" w:rsidDel="00000000" w:rsidP="00000000" w:rsidRDefault="00000000" w:rsidRPr="00000000" w14:paraId="00000044">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45">
      <w:pPr>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calculate </w:t>
      </w:r>
      <w:r w:rsidDel="00000000" w:rsidR="00000000" w:rsidRPr="00000000">
        <w:rPr>
          <w:rFonts w:ascii="Times New Roman" w:cs="Times New Roman" w:eastAsia="Times New Roman" w:hAnsi="Times New Roman"/>
          <w:b w:val="1"/>
          <w:sz w:val="24"/>
          <w:szCs w:val="24"/>
          <w:rtl w:val="0"/>
        </w:rPr>
        <w:t xml:space="preserve">Car Age</w:t>
      </w:r>
      <w:r w:rsidDel="00000000" w:rsidR="00000000" w:rsidRPr="00000000">
        <w:rPr>
          <w:rFonts w:ascii="Times New Roman" w:cs="Times New Roman" w:eastAsia="Times New Roman" w:hAnsi="Times New Roman"/>
          <w:sz w:val="24"/>
          <w:szCs w:val="24"/>
          <w:rtl w:val="0"/>
        </w:rPr>
        <w:t xml:space="preserve"> = Current Year – Car Year.</w:t>
      </w:r>
    </w:p>
    <w:p w:rsidR="00000000" w:rsidDel="00000000" w:rsidP="00000000" w:rsidRDefault="00000000" w:rsidRPr="00000000" w14:paraId="00000046">
      <w:pPr>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Older cars may break down more often or have lower resale/repair costs.</w:t>
      </w:r>
    </w:p>
    <w:p w:rsidR="00000000" w:rsidDel="00000000" w:rsidP="00000000" w:rsidRDefault="00000000" w:rsidRPr="00000000" w14:paraId="00000047">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48">
      <w:pPr>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Assess claim likelihood by vehicle age.</w:t>
      </w:r>
    </w:p>
    <w:p w:rsidR="00000000" w:rsidDel="00000000" w:rsidP="00000000" w:rsidRDefault="00000000" w:rsidRPr="00000000" w14:paraId="00000049">
      <w:pPr>
        <w:numPr>
          <w:ilvl w:val="1"/>
          <w:numId w:val="1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segments like New (&lt;3 years), Mid-age (3–10 years), Old (&gt;10 years).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Coverage Zone</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geographic risk area where the policyholder resides/uses the car (e.g., Zone A, Urban, Rural).</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5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51">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Location impacts accident probability, theft risk, and repair costs.</w:t>
      </w:r>
    </w:p>
    <w:p w:rsidR="00000000" w:rsidDel="00000000" w:rsidP="00000000" w:rsidRDefault="00000000" w:rsidRPr="00000000" w14:paraId="00000052">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Urban areas → higher claim frequency, rural areas → fewer accidents but possibly more severe damage.</w:t>
      </w:r>
    </w:p>
    <w:p w:rsidR="00000000" w:rsidDel="00000000" w:rsidP="00000000" w:rsidRDefault="00000000" w:rsidRPr="00000000" w14:paraId="00000053">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54">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performance across regions.</w:t>
      </w:r>
    </w:p>
    <w:p w:rsidR="00000000" w:rsidDel="00000000" w:rsidP="00000000" w:rsidRDefault="00000000" w:rsidRPr="00000000" w14:paraId="00000055">
      <w:pPr>
        <w:numPr>
          <w:ilvl w:val="1"/>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Useful for </w:t>
      </w:r>
      <w:r w:rsidDel="00000000" w:rsidR="00000000" w:rsidRPr="00000000">
        <w:rPr>
          <w:rFonts w:ascii="Times New Roman" w:cs="Times New Roman" w:eastAsia="Times New Roman" w:hAnsi="Times New Roman"/>
          <w:b w:val="1"/>
          <w:sz w:val="24"/>
          <w:szCs w:val="24"/>
          <w:rtl w:val="0"/>
        </w:rPr>
        <w:t xml:space="preserve">mapping dashboards in Power BI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Education</w:t>
      </w:r>
    </w:p>
    <w:p w:rsidR="00000000" w:rsidDel="00000000" w:rsidP="00000000" w:rsidRDefault="00000000" w:rsidRPr="00000000" w14:paraId="0000005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highest education level attained by the policyholder (e.g., High School, Graduate, Postgraduate).</w:t>
      </w:r>
    </w:p>
    <w:p w:rsidR="00000000" w:rsidDel="00000000" w:rsidP="00000000" w:rsidRDefault="00000000" w:rsidRPr="00000000" w14:paraId="0000005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5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5B">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 level often correlates with income and risk behavior.</w:t>
      </w:r>
    </w:p>
    <w:p w:rsidR="00000000" w:rsidDel="00000000" w:rsidP="00000000" w:rsidRDefault="00000000" w:rsidRPr="00000000" w14:paraId="0000005C">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5D">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claim frequency by education group.</w:t>
      </w:r>
    </w:p>
    <w:p w:rsidR="00000000" w:rsidDel="00000000" w:rsidP="00000000" w:rsidRDefault="00000000" w:rsidRPr="00000000" w14:paraId="0000005E">
      <w:pPr>
        <w:numPr>
          <w:ilvl w:val="1"/>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for marketing campaigns and segmentation.</w:t>
      </w:r>
    </w:p>
    <w:p w:rsidR="00000000" w:rsidDel="00000000" w:rsidP="00000000" w:rsidRDefault="00000000" w:rsidRPr="00000000" w14:paraId="0000005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Gender</w:t>
      </w:r>
    </w:p>
    <w:p w:rsidR="00000000" w:rsidDel="00000000" w:rsidP="00000000" w:rsidRDefault="00000000" w:rsidRPr="00000000" w14:paraId="00000061">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Gender of the policyholder (Male, Female, Other).</w:t>
      </w:r>
    </w:p>
    <w:p w:rsidR="00000000" w:rsidDel="00000000" w:rsidP="00000000" w:rsidRDefault="00000000" w:rsidRPr="00000000" w14:paraId="00000062">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63">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64">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 differences in claim patterns may exist.</w:t>
      </w:r>
    </w:p>
    <w:p w:rsidR="00000000" w:rsidDel="00000000" w:rsidP="00000000" w:rsidRDefault="00000000" w:rsidRPr="00000000" w14:paraId="00000065">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66">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 analysis by gender group.</w:t>
      </w:r>
    </w:p>
    <w:p w:rsidR="00000000" w:rsidDel="00000000" w:rsidP="00000000" w:rsidRDefault="00000000" w:rsidRPr="00000000" w14:paraId="00000067">
      <w:pPr>
        <w:numPr>
          <w:ilvl w:val="1"/>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 breakdowns in dashboards.</w:t>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Marital Status</w:t>
      </w:r>
    </w:p>
    <w:p w:rsidR="00000000" w:rsidDel="00000000" w:rsidP="00000000" w:rsidRDefault="00000000" w:rsidRPr="00000000" w14:paraId="0000006A">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Marital status of the policyholder (Single, Married, Divorced, etc.).</w:t>
      </w:r>
    </w:p>
    <w:p w:rsidR="00000000" w:rsidDel="00000000" w:rsidP="00000000" w:rsidRDefault="00000000" w:rsidRPr="00000000" w14:paraId="0000006B">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Categorical.</w:t>
      </w:r>
    </w:p>
    <w:p w:rsidR="00000000" w:rsidDel="00000000" w:rsidP="00000000" w:rsidRDefault="00000000" w:rsidRPr="00000000" w14:paraId="0000006C">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6D">
      <w:pPr>
        <w:numPr>
          <w:ilvl w:val="1"/>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Married people are often seen as more stable, potentially lower risk.</w:t>
      </w:r>
    </w:p>
    <w:p w:rsidR="00000000" w:rsidDel="00000000" w:rsidP="00000000" w:rsidRDefault="00000000" w:rsidRPr="00000000" w14:paraId="0000006E">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6F">
      <w:pPr>
        <w:numPr>
          <w:ilvl w:val="1"/>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claims between singles vs married customers.</w:t>
      </w:r>
    </w:p>
    <w:p w:rsidR="00000000" w:rsidDel="00000000" w:rsidP="00000000" w:rsidRDefault="00000000" w:rsidRPr="00000000" w14:paraId="00000070">
      <w:pPr>
        <w:numPr>
          <w:ilvl w:val="1"/>
          <w:numId w:val="9"/>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Factor in pricing and risk adjustment.</w:t>
      </w:r>
    </w:p>
    <w:p w:rsidR="00000000" w:rsidDel="00000000" w:rsidP="00000000" w:rsidRDefault="00000000" w:rsidRPr="00000000" w14:paraId="0000007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Parent</w:t>
      </w:r>
    </w:p>
    <w:p w:rsidR="00000000" w:rsidDel="00000000" w:rsidP="00000000" w:rsidRDefault="00000000" w:rsidRPr="00000000" w14:paraId="00000073">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Whether the policyholder has children (Yes/No).</w:t>
      </w:r>
    </w:p>
    <w:p w:rsidR="00000000" w:rsidDel="00000000" w:rsidP="00000000" w:rsidRDefault="00000000" w:rsidRPr="00000000" w14:paraId="00000074">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Boolean / Categorical.</w:t>
      </w:r>
    </w:p>
    <w:p w:rsidR="00000000" w:rsidDel="00000000" w:rsidP="00000000" w:rsidRDefault="00000000" w:rsidRPr="00000000" w14:paraId="00000075">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76">
      <w:pPr>
        <w:numPr>
          <w:ilvl w:val="1"/>
          <w:numId w:val="1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Parents may drive differently compared to non-parents.</w:t>
      </w:r>
    </w:p>
    <w:p w:rsidR="00000000" w:rsidDel="00000000" w:rsidP="00000000" w:rsidRDefault="00000000" w:rsidRPr="00000000" w14:paraId="00000077">
      <w:pPr>
        <w:numPr>
          <w:ilvl w:val="0"/>
          <w:numId w:val="1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78">
      <w:pPr>
        <w:numPr>
          <w:ilvl w:val="1"/>
          <w:numId w:val="1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claims and policies by parent status.</w:t>
      </w:r>
    </w:p>
    <w:p w:rsidR="00000000" w:rsidDel="00000000" w:rsidP="00000000" w:rsidRDefault="00000000" w:rsidRPr="00000000" w14:paraId="00000079">
      <w:pPr>
        <w:numPr>
          <w:ilvl w:val="1"/>
          <w:numId w:val="1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Combine with </w:t>
      </w:r>
      <w:r w:rsidDel="00000000" w:rsidR="00000000" w:rsidRPr="00000000">
        <w:rPr>
          <w:rFonts w:ascii="Times New Roman" w:cs="Times New Roman" w:eastAsia="Times New Roman" w:hAnsi="Times New Roman"/>
          <w:b w:val="1"/>
          <w:sz w:val="24"/>
          <w:szCs w:val="24"/>
          <w:rtl w:val="0"/>
        </w:rPr>
        <w:t xml:space="preserve">Kids Driving</w:t>
      </w:r>
      <w:r w:rsidDel="00000000" w:rsidR="00000000" w:rsidRPr="00000000">
        <w:rPr>
          <w:rFonts w:ascii="Times New Roman" w:cs="Times New Roman" w:eastAsia="Times New Roman" w:hAnsi="Times New Roman"/>
          <w:sz w:val="24"/>
          <w:szCs w:val="24"/>
          <w:rtl w:val="0"/>
        </w:rPr>
        <w:t xml:space="preserve"> for more detailed household analysis.</w:t>
      </w:r>
    </w:p>
    <w:p w:rsidR="00000000" w:rsidDel="00000000" w:rsidP="00000000" w:rsidRDefault="00000000" w:rsidRPr="00000000" w14:paraId="0000007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Claim Amt</w:t>
      </w:r>
    </w:p>
    <w:p w:rsidR="00000000" w:rsidDel="00000000" w:rsidP="00000000" w:rsidRDefault="00000000" w:rsidRPr="00000000" w14:paraId="0000007C">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Total monetary value of claims filed by the policyholder.</w:t>
      </w:r>
    </w:p>
    <w:p w:rsidR="00000000" w:rsidDel="00000000" w:rsidP="00000000" w:rsidRDefault="00000000" w:rsidRPr="00000000" w14:paraId="0000007D">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(currency).</w:t>
      </w:r>
    </w:p>
    <w:p w:rsidR="00000000" w:rsidDel="00000000" w:rsidP="00000000" w:rsidRDefault="00000000" w:rsidRPr="00000000" w14:paraId="0000007E">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7F">
      <w:pPr>
        <w:numPr>
          <w:ilvl w:val="1"/>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critical measure of insurance losses.</w:t>
      </w:r>
    </w:p>
    <w:p w:rsidR="00000000" w:rsidDel="00000000" w:rsidP="00000000" w:rsidRDefault="00000000" w:rsidRPr="00000000" w14:paraId="00000080">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81">
      <w:pPr>
        <w:numPr>
          <w:ilvl w:val="1"/>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calculate </w:t>
      </w:r>
      <w:r w:rsidDel="00000000" w:rsidR="00000000" w:rsidRPr="00000000">
        <w:rPr>
          <w:rFonts w:ascii="Times New Roman" w:cs="Times New Roman" w:eastAsia="Times New Roman" w:hAnsi="Times New Roman"/>
          <w:b w:val="1"/>
          <w:sz w:val="24"/>
          <w:szCs w:val="24"/>
          <w:rtl w:val="0"/>
        </w:rPr>
        <w:t xml:space="preserve">total losses, average claim amount, and claim ratios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2">
      <w:pPr>
        <w:numPr>
          <w:ilvl w:val="1"/>
          <w:numId w:val="8"/>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high-cost claims for fraud detection.</w:t>
      </w:r>
    </w:p>
    <w:p w:rsidR="00000000" w:rsidDel="00000000" w:rsidP="00000000" w:rsidRDefault="00000000" w:rsidRPr="00000000" w14:paraId="0000008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Claim Freq</w:t>
      </w:r>
    </w:p>
    <w:p w:rsidR="00000000" w:rsidDel="00000000" w:rsidP="00000000" w:rsidRDefault="00000000" w:rsidRPr="00000000" w14:paraId="00000085">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The number of claims filed by the policyholder.</w:t>
      </w:r>
    </w:p>
    <w:p w:rsidR="00000000" w:rsidDel="00000000" w:rsidP="00000000" w:rsidRDefault="00000000" w:rsidRPr="00000000" w14:paraId="00000086">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(integer).</w:t>
      </w:r>
    </w:p>
    <w:p w:rsidR="00000000" w:rsidDel="00000000" w:rsidP="00000000" w:rsidRDefault="00000000" w:rsidRPr="00000000" w14:paraId="00000087">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88">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Frequency of claims indicates risk behavior.</w:t>
      </w:r>
    </w:p>
    <w:p w:rsidR="00000000" w:rsidDel="00000000" w:rsidP="00000000" w:rsidRDefault="00000000" w:rsidRPr="00000000" w14:paraId="00000089">
      <w:pPr>
        <w:numPr>
          <w:ilvl w:val="0"/>
          <w:numId w:val="5"/>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8A">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KPI for customer risk assessment.</w:t>
      </w:r>
    </w:p>
    <w:p w:rsidR="00000000" w:rsidDel="00000000" w:rsidP="00000000" w:rsidRDefault="00000000" w:rsidRPr="00000000" w14:paraId="0000008B">
      <w:pPr>
        <w:numPr>
          <w:ilvl w:val="1"/>
          <w:numId w:val="5"/>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Combined with Claim Amt → identifies whether risk is due to high frequency or high severity.</w:t>
      </w:r>
    </w:p>
    <w:p w:rsidR="00000000" w:rsidDel="00000000" w:rsidP="00000000" w:rsidRDefault="00000000" w:rsidRPr="00000000" w14:paraId="0000008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Household Income</w:t>
      </w:r>
    </w:p>
    <w:p w:rsidR="00000000" w:rsidDel="00000000" w:rsidP="00000000" w:rsidRDefault="00000000" w:rsidRPr="00000000" w14:paraId="0000008E">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Annual income of the policyholder’s household.</w:t>
      </w:r>
    </w:p>
    <w:p w:rsidR="00000000" w:rsidDel="00000000" w:rsidP="00000000" w:rsidRDefault="00000000" w:rsidRPr="00000000" w14:paraId="0000008F">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w:t>
      </w:r>
    </w:p>
    <w:p w:rsidR="00000000" w:rsidDel="00000000" w:rsidP="00000000" w:rsidRDefault="00000000" w:rsidRPr="00000000" w14:paraId="00000090">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91">
      <w:pPr>
        <w:numPr>
          <w:ilvl w:val="1"/>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level affects affordability of premiums and vehicle type.</w:t>
      </w:r>
    </w:p>
    <w:p w:rsidR="00000000" w:rsidDel="00000000" w:rsidP="00000000" w:rsidRDefault="00000000" w:rsidRPr="00000000" w14:paraId="00000092">
      <w:pPr>
        <w:numPr>
          <w:ilvl w:val="0"/>
          <w:numId w:val="1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93">
      <w:pPr>
        <w:numPr>
          <w:ilvl w:val="1"/>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 customers into income bands.</w:t>
      </w:r>
    </w:p>
    <w:p w:rsidR="00000000" w:rsidDel="00000000" w:rsidP="00000000" w:rsidRDefault="00000000" w:rsidRPr="00000000" w14:paraId="00000094">
      <w:pPr>
        <w:numPr>
          <w:ilvl w:val="1"/>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claim patterns across income groups.</w:t>
      </w:r>
    </w:p>
    <w:p w:rsidR="00000000" w:rsidDel="00000000" w:rsidP="00000000" w:rsidRDefault="00000000" w:rsidRPr="00000000" w14:paraId="00000095">
      <w:pPr>
        <w:numPr>
          <w:ilvl w:val="1"/>
          <w:numId w:val="10"/>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marketing/policy offers (e.g., premium insurance for high-income households).</w:t>
      </w:r>
    </w:p>
    <w:p w:rsidR="00000000" w:rsidDel="00000000" w:rsidP="00000000" w:rsidRDefault="00000000" w:rsidRPr="00000000" w14:paraId="0000009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Kids Driving</w:t>
      </w:r>
    </w:p>
    <w:p w:rsidR="00000000" w:rsidDel="00000000" w:rsidP="00000000" w:rsidRDefault="00000000" w:rsidRPr="00000000" w14:paraId="0000009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sz w:val="24"/>
          <w:szCs w:val="24"/>
          <w:rtl w:val="0"/>
        </w:rPr>
        <w:t xml:space="preserve"> Number of kids in the household who are licensed drivers.</w:t>
      </w:r>
    </w:p>
    <w:p w:rsidR="00000000" w:rsidDel="00000000" w:rsidP="00000000" w:rsidRDefault="00000000" w:rsidRPr="00000000" w14:paraId="00000099">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Numeric (integer).</w:t>
      </w:r>
    </w:p>
    <w:p w:rsidR="00000000" w:rsidDel="00000000" w:rsidP="00000000" w:rsidRDefault="00000000" w:rsidRPr="00000000" w14:paraId="0000009A">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r w:rsidDel="00000000" w:rsidR="00000000" w:rsidRPr="00000000">
        <w:rPr>
          <w:rtl w:val="0"/>
        </w:rPr>
      </w:r>
    </w:p>
    <w:p w:rsidR="00000000" w:rsidDel="00000000" w:rsidP="00000000" w:rsidRDefault="00000000" w:rsidRPr="00000000" w14:paraId="0000009B">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(1, 2, 3…) indicate number of kids driving.</w:t>
      </w:r>
    </w:p>
    <w:p w:rsidR="00000000" w:rsidDel="00000000" w:rsidP="00000000" w:rsidRDefault="00000000" w:rsidRPr="00000000" w14:paraId="0000009C">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kids driving generally = higher accident probability.</w:t>
      </w:r>
    </w:p>
    <w:p w:rsidR="00000000" w:rsidDel="00000000" w:rsidP="00000000" w:rsidRDefault="00000000" w:rsidRPr="00000000" w14:paraId="0000009D">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Business Use:</w:t>
      </w:r>
      <w:r w:rsidDel="00000000" w:rsidR="00000000" w:rsidRPr="00000000">
        <w:rPr>
          <w:rtl w:val="0"/>
        </w:rPr>
      </w:r>
    </w:p>
    <w:p w:rsidR="00000000" w:rsidDel="00000000" w:rsidP="00000000" w:rsidRDefault="00000000" w:rsidRPr="00000000" w14:paraId="0000009E">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claims by number of kids driving.</w:t>
      </w:r>
    </w:p>
    <w:p w:rsidR="00000000" w:rsidDel="00000000" w:rsidP="00000000" w:rsidRDefault="00000000" w:rsidRPr="00000000" w14:paraId="0000009F">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into categories (e.g., None, 1 Kid, 2 Kids, 3+ Kids).</w:t>
      </w:r>
    </w:p>
    <w:p w:rsidR="00000000" w:rsidDel="00000000" w:rsidP="00000000" w:rsidRDefault="00000000" w:rsidRPr="00000000" w14:paraId="000000A0">
      <w:pPr>
        <w:numPr>
          <w:ilvl w:val="1"/>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Helps insurers estimate family household risk.</w:t>
      </w: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