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94E1F"/>
          <w:sz w:val="44"/>
          <w:szCs w:val="44"/>
        </w:rPr>
        <w:t xml:space="preserve">🏮 K'Helper</w:t>
      </w:r>
    </w:p>
    <w:p>
      <w:pPr>
        <w:spacing w:after="60"/>
        <w:jc w:val="center"/>
      </w:pPr>
      <w:r>
        <w:rPr>
          <w:b/>
          <w:bCs/>
          <w:color w:val="333333"/>
          <w:sz w:val="30"/>
          <w:szCs w:val="30"/>
        </w:rPr>
        <w:t xml:space="preserve">Business Plan — 2026 Edition</w:t>
      </w:r>
    </w:p>
    <w:p>
      <w:pPr>
        <w:spacing w:after="300"/>
        <w:jc w:val="center"/>
      </w:pPr>
      <w:r>
        <w:rPr>
          <w:i/>
          <w:iCs/>
          <w:color w:val="888888"/>
          <w:sz w:val="20"/>
          <w:szCs w:val="20"/>
        </w:rPr>
        <w:t xml:space="preserve">Get seen by a doctor — in your language. Migrant health navigation &amp; clinic booking. khelper.org · July 2026</w:t>
      </w:r>
    </w:p>
    <w:p>
      <w:pPr>
        <w:pStyle w:val="Heading1"/>
        <w:spacing w:after="140" w:before="320"/>
      </w:pPr>
      <w:r>
        <w:rPr>
          <w:b/>
          <w:bCs/>
          <w:color w:val="D94E1F"/>
        </w:rPr>
        <w:t xml:space="preserve">1. Executive Summary</w:t>
      </w:r>
    </w:p>
    <w:p>
      <w:pPr>
        <w:spacing w:after="120"/>
      </w:pPr>
      <w:r>
        <w:rPr>
          <w:color w:val="333333"/>
        </w:rPr>
        <w:t xml:space="preserve">K’Helper helps low-income migrant workers in South Korea actually get seen by a doctor — understand the bill and insurance, find a clinic that will treat them, and book the visit with their details already translated into Korean. It is a Claude-powered assistant, live at khelper.org, that turns a confusing, Korean-only healthcare system into a booking a worker can complete in their own language.</w:t>
      </w:r>
    </w:p>
    <w:p>
      <w:pPr>
        <w:spacing w:after="120"/>
      </w:pPr>
      <w:r>
        <w:rPr>
          <w:i/>
          <w:iCs/>
          <w:color w:val="777777"/>
          <w:sz w:val="18"/>
          <w:szCs w:val="18"/>
        </w:rPr>
        <w:t xml:space="preserve">Focus note: an earlier draft positioned K’Helper as an everything-assistant for all 2.84M foreigners. The competitive landscape (see §9) makes that a losing fight against well-capitalized super-apps and free government AI. This plan narrows to a defensible wedge: migrant healthcare navigation and booking, starting in one community.</w:t>
      </w:r>
    </w:p>
    <w:p>
      <w:pPr>
        <w:pStyle w:val="ListParagraph"/>
        <w:numPr>
          <w:ilvl w:val="0"/>
          <w:numId w:val="2"/>
        </w:numPr>
        <w:spacing w:after="70"/>
      </w:pPr>
      <w:r>
        <w:rPr>
          <w:b/>
          <w:bCs/>
          <w:color w:val="333333"/>
        </w:rPr>
        <w:t xml:space="preserve">The wedge: </w:t>
      </w:r>
      <w:r>
        <w:rPr>
          <w:color w:val="333333"/>
        </w:rPr>
        <w:t xml:space="preserve">health navigation + clinic booking for the uninsured, low-income migrant workers the funded players find unprofitable to serve.</w:t>
      </w:r>
    </w:p>
    <w:p>
      <w:pPr>
        <w:pStyle w:val="ListParagraph"/>
        <w:numPr>
          <w:ilvl w:val="0"/>
          <w:numId w:val="2"/>
        </w:numPr>
        <w:spacing w:after="70"/>
      </w:pPr>
      <w:r>
        <w:rPr>
          <w:b/>
          <w:bCs/>
          <w:color w:val="333333"/>
        </w:rPr>
        <w:t xml:space="preserve">The transaction: </w:t>
      </w:r>
      <w:r>
        <w:rPr>
          <w:color w:val="333333"/>
        </w:rPr>
        <w:t xml:space="preserve">clinic booking with translated pre-intake — a revenue loop no government portal or translation app offers.</w:t>
      </w:r>
    </w:p>
    <w:p>
      <w:pPr>
        <w:pStyle w:val="ListParagraph"/>
        <w:numPr>
          <w:ilvl w:val="0"/>
          <w:numId w:val="2"/>
        </w:numPr>
        <w:spacing w:after="70"/>
      </w:pPr>
      <w:r>
        <w:rPr>
          <w:b/>
          <w:bCs/>
          <w:color w:val="333333"/>
        </w:rPr>
        <w:t xml:space="preserve">The moat: </w:t>
      </w:r>
      <w:r>
        <w:rPr>
          <w:color w:val="333333"/>
        </w:rPr>
        <w:t xml:space="preserve">founder-embedded community trust (starting Cambodian), an AI cost structure human-interpreter apps cannot match, and speed while incumbents’ AI is still unshipped.</w:t>
      </w:r>
    </w:p>
    <w:p>
      <w:pPr>
        <w:pStyle w:val="ListParagraph"/>
        <w:numPr>
          <w:ilvl w:val="0"/>
          <w:numId w:val="2"/>
        </w:numPr>
        <w:spacing w:after="70"/>
      </w:pPr>
      <w:r>
        <w:rPr>
          <w:b/>
          <w:bCs/>
          <w:color w:val="333333"/>
        </w:rPr>
        <w:t xml:space="preserve">Status: </w:t>
      </w:r>
      <w:r>
        <w:rPr>
          <w:color w:val="333333"/>
        </w:rPr>
        <w:t xml:space="preserve">live PWA — multilingual chat, visa tracker, hospital finder; booking is the next build.</w:t>
      </w:r>
    </w:p>
    <w:p>
      <w:pPr>
        <w:pStyle w:val="ListParagraph"/>
        <w:numPr>
          <w:ilvl w:val="0"/>
          <w:numId w:val="2"/>
        </w:numPr>
        <w:spacing w:after="70"/>
      </w:pPr>
      <w:r>
        <w:rPr>
          <w:b/>
          <w:bCs/>
          <w:color w:val="333333"/>
        </w:rPr>
        <w:t xml:space="preserve">North Star: </w:t>
      </w:r>
      <w:r>
        <w:rPr>
          <w:color w:val="333333"/>
        </w:rPr>
        <w:t xml:space="preserve">become the default way one migrant community books care, then replicate community by community.</w:t>
      </w:r>
    </w:p>
    <w:p>
      <w:pPr>
        <w:pStyle w:val="Heading1"/>
        <w:spacing w:after="140" w:before="320"/>
      </w:pPr>
      <w:r>
        <w:rPr>
          <w:b/>
          <w:bCs/>
          <w:color w:val="D94E1F"/>
        </w:rPr>
        <w:t xml:space="preserve">2. The Pitch (NABC)</w:t>
      </w:r>
    </w:p>
    <w:p>
      <w:pPr>
        <w:pStyle w:val="Heading2"/>
        <w:spacing w:after="100" w:before="220"/>
      </w:pPr>
      <w:r>
        <w:rPr>
          <w:b/>
          <w:bCs/>
          <w:color w:val="8F2E10"/>
          <w:sz w:val="24"/>
          <w:szCs w:val="24"/>
        </w:rPr>
        <w:t xml:space="preserve">Need</w:t>
      </w:r>
    </w:p>
    <w:p>
      <w:pPr>
        <w:spacing w:after="120"/>
      </w:pPr>
      <w:r>
        <w:rPr>
          <w:color w:val="333333"/>
        </w:rPr>
        <w:t xml:space="preserve">2.84M foreigners live in Korea; the hospital, insurance, and labor systems speak only Korean. 400,000–600,000 are uninsured; ~398,000 undocumented residents have no NHIS access at all. For Khmer or Bengali speakers, fewer than 5 professional medical interpreters exist nationwide, at $60–80/hr they cannot afford. A sick migrant worker’s real problem is not information — it is completing an action: seeing a doctor who will treat them, and knowing what it costs.</w:t>
      </w:r>
    </w:p>
    <w:p>
      <w:pPr>
        <w:pStyle w:val="Heading2"/>
        <w:spacing w:after="100" w:before="220"/>
      </w:pPr>
      <w:r>
        <w:rPr>
          <w:b/>
          <w:bCs/>
          <w:color w:val="8F2E10"/>
          <w:sz w:val="24"/>
          <w:szCs w:val="24"/>
        </w:rPr>
        <w:t xml:space="preserve">Approach</w:t>
      </w:r>
    </w:p>
    <w:p>
      <w:pPr>
        <w:spacing w:after="120"/>
      </w:pPr>
      <w:r>
        <w:rPr>
          <w:color w:val="333333"/>
        </w:rPr>
        <w:t xml:space="preserve">K’Helper is a Claude-powered assistant, live at khelper.org, focused on one job done completely: health. It explains hospital bills and NHIS coverage in the user’s language, finds clinics that serve foreigners (from free government open data), and — the core — lets the user book the visit, sending their symptoms and status to the clinic already translated into Korean. Chat is the funnel; booking is the product. It starts in the founder’s Cambodian community, then replicates to the next underserved community.</w:t>
      </w:r>
    </w:p>
    <w:p>
      <w:pPr>
        <w:pStyle w:val="Heading2"/>
        <w:spacing w:after="100" w:before="220"/>
      </w:pPr>
      <w:r>
        <w:rPr>
          <w:b/>
          <w:bCs/>
          <w:color w:val="8F2E10"/>
          <w:sz w:val="24"/>
          <w:szCs w:val="24"/>
        </w:rPr>
        <w:t xml:space="preserve">Benefit</w:t>
      </w:r>
    </w:p>
    <w:p>
      <w:pPr>
        <w:spacing w:after="120"/>
      </w:pPr>
      <w:r>
        <w:rPr>
          <w:color w:val="333333"/>
        </w:rPr>
        <w:t xml:space="preserve">Users complete a doctor visit they would otherwise skip — free, in their language, without a $60–80/hr interpreter. Clinics near industrial zones gain foreign patients they currently cannot reach or serve, delivered with zero front-desk friction — which is why they pay. That two-sided value (patient gets care, clinic gets a customer) is the revenue engine and the retention loop.</w:t>
      </w:r>
    </w:p>
    <w:p>
      <w:pPr>
        <w:pStyle w:val="Heading2"/>
        <w:spacing w:after="100" w:before="220"/>
      </w:pPr>
      <w:r>
        <w:rPr>
          <w:b/>
          <w:bCs/>
          <w:color w:val="8F2E10"/>
          <w:sz w:val="24"/>
          <w:szCs w:val="24"/>
        </w:rPr>
        <w:t xml:space="preserve">Competition</w:t>
      </w:r>
    </w:p>
    <w:p>
      <w:pPr>
        <w:spacing w:after="120"/>
      </w:pPr>
      <w:r>
        <w:rPr>
          <w:color w:val="333333"/>
        </w:rPr>
        <w:t xml:space="preserve">The real threats are not the healthcare apps but a KOSDAQ-listed fintech super-app (Hanpass) pivoting to AI and free government AI portals (see §9). K’Helper does not fight them on general information — that is becoming a commodity. It wins on the one action none of them offer: booking care for the low-income migrant they are not built to serve, from a position of community trust they cannot buy quickly.</w:t>
      </w:r>
    </w:p>
    <w:p>
      <w:pPr>
        <w:pStyle w:val="Heading1"/>
        <w:spacing w:after="140" w:before="320"/>
      </w:pPr>
      <w:r>
        <w:rPr>
          <w:b/>
          <w:bCs/>
          <w:color w:val="D94E1F"/>
        </w:rPr>
        <w:t xml:space="preserve">3. The Problem</w:t>
      </w:r>
    </w:p>
    <w:p>
      <w:pPr>
        <w:spacing w:after="120"/>
      </w:pPr>
      <w:r>
        <w:rPr>
          <w:color w:val="333333"/>
        </w:rPr>
        <w:t xml:space="preserve">A Cambodian farm worker in Ansan gets a stomach pain that will not stop. He cannot read the hospital signs, cannot afford a $70/hr interpreter, does not know if his insurance covers the visit, and is not sure which clinic will even treat a foreigner. So he waits, self-medicates, or skips care entirely. Multiply this by the hundreds of thousands of uninsured, low-Korean-literacy migrant workers and you have a large, recurring, unmet need the market serves poorly.</w:t>
      </w:r>
    </w:p>
    <w:p>
      <w:pPr>
        <w:pStyle w:val="ListParagraph"/>
        <w:numPr>
          <w:ilvl w:val="0"/>
          <w:numId w:val="2"/>
        </w:numPr>
        <w:spacing w:after="70"/>
      </w:pPr>
      <w:r>
        <w:rPr>
          <w:b/>
          <w:bCs/>
          <w:color w:val="333333"/>
        </w:rPr>
        <w:t xml:space="preserve">~398,000 undocumented residents </w:t>
      </w:r>
      <w:r>
        <w:rPr>
          <w:color w:val="333333"/>
        </w:rPr>
        <w:t xml:space="preserve">have no NHIS access at all (Ministry of Justice, 2024).</w:t>
      </w:r>
    </w:p>
    <w:p>
      <w:pPr>
        <w:pStyle w:val="ListParagraph"/>
        <w:numPr>
          <w:ilvl w:val="0"/>
          <w:numId w:val="2"/>
        </w:numPr>
        <w:spacing w:after="70"/>
      </w:pPr>
      <w:r>
        <w:rPr>
          <w:b/>
          <w:bCs/>
          <w:color w:val="333333"/>
        </w:rPr>
        <w:t xml:space="preserve">An estimated 400,000–600,000 foreigners are uninsured </w:t>
      </w:r>
      <w:r>
        <w:rPr>
          <w:color w:val="333333"/>
        </w:rPr>
        <w:t xml:space="preserve">overall.</w:t>
      </w:r>
    </w:p>
    <w:p>
      <w:pPr>
        <w:pStyle w:val="ListParagraph"/>
        <w:numPr>
          <w:ilvl w:val="0"/>
          <w:numId w:val="2"/>
        </w:numPr>
        <w:spacing w:after="70"/>
      </w:pPr>
      <w:r>
        <w:rPr>
          <w:b/>
          <w:bCs/>
          <w:color w:val="333333"/>
        </w:rPr>
        <w:t xml:space="preserve">Khmer and Bengali interpreter coverage: </w:t>
      </w:r>
      <w:r>
        <w:rPr>
          <w:color w:val="333333"/>
        </w:rPr>
        <w:t xml:space="preserve">under 10% of hospitals; fewer than 5 professional interpreters each — and at $60–80/hr, out of reach for a worker earning ~$1,800/month.</w:t>
      </w:r>
    </w:p>
    <w:p>
      <w:pPr>
        <w:pStyle w:val="Heading1"/>
        <w:spacing w:after="140" w:before="320"/>
      </w:pPr>
      <w:r>
        <w:rPr>
          <w:b/>
          <w:bCs/>
          <w:color w:val="D94E1F"/>
        </w:rPr>
        <w:t xml:space="preserve">4. The Solution</w:t>
      </w:r>
    </w:p>
    <w:p>
      <w:pPr>
        <w:spacing w:after="120"/>
      </w:pPr>
      <w:r>
        <w:rPr>
          <w:color w:val="333333"/>
        </w:rPr>
        <w:t xml:space="preserve">One conversation, any language. The user types a question; K'Helper answers clearly and honestly — including "that is illegal, here is what you can do" — with crisis detection, scam protection, and emergency contacts built in.</w:t>
      </w:r>
    </w:p>
    <w:p>
      <w:pPr>
        <w:pStyle w:val="Heading2"/>
        <w:spacing w:after="100" w:before="220"/>
      </w:pPr>
      <w:r>
        <w:rPr>
          <w:b/>
          <w:bCs/>
          <w:color w:val="8F2E10"/>
          <w:sz w:val="24"/>
          <w:szCs w:val="24"/>
        </w:rPr>
        <w:t xml:space="preserve">Shipped today</w:t>
      </w:r>
    </w:p>
    <w:p>
      <w:pPr>
        <w:pStyle w:val="ListParagraph"/>
        <w:numPr>
          <w:ilvl w:val="0"/>
          <w:numId w:val="2"/>
        </w:numPr>
        <w:spacing w:after="70"/>
      </w:pPr>
      <w:r>
        <w:rPr>
          <w:color w:val="333333"/>
        </w:rPr>
        <w:t xml:space="preserve">Chat assistant on Anthropic Claude with a 3-agent safety system (Guardian / Core / Sentinel), rate limiting, and a server-side API key.</w:t>
      </w:r>
    </w:p>
    <w:p>
      <w:pPr>
        <w:pStyle w:val="ListParagraph"/>
        <w:numPr>
          <w:ilvl w:val="0"/>
          <w:numId w:val="2"/>
        </w:numPr>
        <w:spacing w:after="70"/>
      </w:pPr>
      <w:r>
        <w:rPr>
          <w:color w:val="333333"/>
        </w:rPr>
        <w:t xml:space="preserve">Google sign-in with a triple-fallback flow that works even on ad-blocked and filtered networks.</w:t>
      </w:r>
    </w:p>
    <w:p>
      <w:pPr>
        <w:pStyle w:val="ListParagraph"/>
        <w:numPr>
          <w:ilvl w:val="0"/>
          <w:numId w:val="2"/>
        </w:numPr>
        <w:spacing w:after="70"/>
      </w:pPr>
      <w:r>
        <w:rPr>
          <w:color w:val="333333"/>
        </w:rPr>
        <w:t xml:space="preserve">Visa expiry tracker, health topic shortcuts, and a hospital/clinic locations panel.</w:t>
      </w:r>
    </w:p>
    <w:p>
      <w:pPr>
        <w:pStyle w:val="ListParagraph"/>
        <w:numPr>
          <w:ilvl w:val="0"/>
          <w:numId w:val="2"/>
        </w:numPr>
        <w:spacing w:after="70"/>
      </w:pPr>
      <w:r>
        <w:rPr>
          <w:color w:val="333333"/>
        </w:rPr>
        <w:t xml:space="preserve">English-first UI with full Khmer and Korean localization; chat answers in any language automatically.</w:t>
      </w:r>
    </w:p>
    <w:p>
      <w:pPr>
        <w:pStyle w:val="ListParagraph"/>
        <w:numPr>
          <w:ilvl w:val="0"/>
          <w:numId w:val="2"/>
        </w:numPr>
        <w:spacing w:after="70"/>
      </w:pPr>
      <w:r>
        <w:rPr>
          <w:b/>
          <w:bCs/>
          <w:color w:val="333333"/>
        </w:rPr>
        <w:t xml:space="preserve">Focused for v1: </w:t>
      </w:r>
      <w:r>
        <w:rPr>
          <w:color w:val="333333"/>
        </w:rPr>
        <w:t xml:space="preserve">CV builder and translator marketplace are built but hidden — v1 tells one story: get seen by a doctor. They return as Phase 2 retention features.</w:t>
      </w:r>
    </w:p>
    <w:p>
      <w:pPr>
        <w:pStyle w:val="Heading1"/>
        <w:spacing w:after="140" w:before="320"/>
      </w:pPr>
      <w:r>
        <w:rPr>
          <w:b/>
          <w:bCs/>
          <w:color w:val="D94E1F"/>
        </w:rPr>
        <w:t xml:space="preserve">5. Find &amp; Book Care — the Marketplace Layer</w:t>
      </w:r>
    </w:p>
    <w:p>
      <w:pPr>
        <w:spacing w:after="120"/>
      </w:pPr>
      <w:r>
        <w:rPr>
          <w:color w:val="333333"/>
        </w:rPr>
        <w:t xml:space="preserve">Beyond answers, K’Helper closes the loop: find a clinic that will serve you, and book it — directly from the app, in your language.</w:t>
      </w:r>
    </w:p>
    <w:p>
      <w:pPr>
        <w:pStyle w:val="Heading2"/>
        <w:spacing w:after="100" w:before="220"/>
      </w:pPr>
      <w:r>
        <w:rPr>
          <w:b/>
          <w:bCs/>
          <w:color w:val="8F2E10"/>
          <w:sz w:val="24"/>
          <w:szCs w:val="24"/>
        </w:rPr>
        <w:t xml:space="preserve">The data problem is already solved</w:t>
      </w:r>
    </w:p>
    <w:p>
      <w:pPr>
        <w:pStyle w:val="ListParagraph"/>
        <w:numPr>
          <w:ilvl w:val="0"/>
          <w:numId w:val="2"/>
        </w:numPr>
        <w:spacing w:after="70"/>
      </w:pPr>
      <w:r>
        <w:rPr>
          <w:b/>
          <w:bCs/>
          <w:color w:val="333333"/>
        </w:rPr>
        <w:t xml:space="preserve">Directory: </w:t>
      </w:r>
      <w:r>
        <w:rPr>
          <w:color w:val="333333"/>
        </w:rPr>
        <w:t xml:space="preserve">Korea’s government publishes the complete national registry of hospitals and clinics (locations, types, specialties) as free open APIs via HIRA (opendata.hira.or.kr) and data.go.kr — no scraping, no permissions.</w:t>
      </w:r>
    </w:p>
    <w:p>
      <w:pPr>
        <w:pStyle w:val="ListParagraph"/>
        <w:numPr>
          <w:ilvl w:val="0"/>
          <w:numId w:val="2"/>
        </w:numPr>
        <w:spacing w:after="70"/>
      </w:pPr>
      <w:r>
        <w:rPr>
          <w:b/>
          <w:bCs/>
          <w:color w:val="333333"/>
        </w:rPr>
        <w:t xml:space="preserve">Maps: </w:t>
      </w:r>
      <w:r>
        <w:rPr>
          <w:color w:val="333333"/>
        </w:rPr>
        <w:t xml:space="preserve">Kakao Maps and Naver Maps developer APIs with free tiers for display and directions.</w:t>
      </w:r>
    </w:p>
    <w:p>
      <w:pPr>
        <w:pStyle w:val="Heading2"/>
        <w:spacing w:after="100" w:before="220"/>
      </w:pPr>
      <w:r>
        <w:rPr>
          <w:b/>
          <w:bCs/>
          <w:color w:val="8F2E10"/>
          <w:sz w:val="24"/>
          <w:szCs w:val="24"/>
        </w:rPr>
        <w:t xml:space="preserve">Booking: manual first, API later</w:t>
      </w:r>
    </w:p>
    <w:p>
      <w:pPr>
        <w:pStyle w:val="ListParagraph"/>
        <w:numPr>
          <w:ilvl w:val="0"/>
          <w:numId w:val="2"/>
        </w:numPr>
        <w:spacing w:after="70"/>
      </w:pPr>
      <w:r>
        <w:rPr>
          <w:b/>
          <w:bCs/>
          <w:color w:val="333333"/>
        </w:rPr>
        <w:t xml:space="preserve">v1 (concierge): </w:t>
      </w:r>
      <w:r>
        <w:rPr>
          <w:color w:val="333333"/>
        </w:rPr>
        <w:t xml:space="preserve">5–10 partner clinics in one migrant-dense city (Ansan). User taps Book; K’Helper relays the request to the clinic by KakaoTalk or phone. No integration required.</w:t>
      </w:r>
    </w:p>
    <w:p>
      <w:pPr>
        <w:pStyle w:val="ListParagraph"/>
        <w:numPr>
          <w:ilvl w:val="0"/>
          <w:numId w:val="2"/>
        </w:numPr>
        <w:spacing w:after="70"/>
      </w:pPr>
      <w:r>
        <w:rPr>
          <w:b/>
          <w:bCs/>
          <w:color w:val="333333"/>
        </w:rPr>
        <w:t xml:space="preserve">The killer feature — translated pre-intake: </w:t>
      </w:r>
      <w:r>
        <w:rPr>
          <w:color w:val="333333"/>
        </w:rPr>
        <w:t xml:space="preserve">every booking arrives with the patient’s details already in Korean ("male, 34, Cambodian, E-9, stomach pain 3 days, NHIS enrolled"). This removes the clinic’s cost of serving foreign patients — the front-desk confusion that makes them hesitate.</w:t>
      </w:r>
    </w:p>
    <w:p>
      <w:pPr>
        <w:pStyle w:val="ListParagraph"/>
        <w:numPr>
          <w:ilvl w:val="0"/>
          <w:numId w:val="2"/>
        </w:numPr>
        <w:spacing w:after="70"/>
      </w:pPr>
      <w:r>
        <w:rPr>
          <w:b/>
          <w:bCs/>
          <w:color w:val="333333"/>
        </w:rPr>
        <w:t xml:space="preserve">v2 (integrated): </w:t>
      </w:r>
      <w:r>
        <w:rPr>
          <w:color w:val="333333"/>
        </w:rPr>
        <w:t xml:space="preserve">once volume is proven, clinics adopt a simple booking dashboard or API integration — they will want in, because K’Helper is their foreign-patient pipeline.</w:t>
      </w:r>
    </w:p>
    <w:p>
      <w:pPr>
        <w:pStyle w:val="Heading2"/>
        <w:spacing w:after="100" w:before="220"/>
      </w:pPr>
      <w:r>
        <w:rPr>
          <w:b/>
          <w:bCs/>
          <w:color w:val="8F2E10"/>
          <w:sz w:val="24"/>
          <w:szCs w:val="24"/>
        </w:rPr>
        <w:t xml:space="preserve">Why clinics pay</w:t>
      </w:r>
    </w:p>
    <w:p>
      <w:pPr>
        <w:spacing w:after="120"/>
      </w:pPr>
      <w:r>
        <w:rPr>
          <w:color w:val="333333"/>
        </w:rPr>
        <w:t xml:space="preserve">Clinics near industrial zones (Ansan, Hwaseong, Pyeongtaek) sit next to hundreds of thousands of foreign workers they cannot reach or serve efficiently. K’Helper delivers new patients with zero language friction — worth a monthly listing fee or per-booking commission. This makes the B2B model concrete: chat is the trust layer, booking is the transaction layer.</w:t>
      </w:r>
    </w:p>
    <w:p>
      <w:pPr>
        <w:pStyle w:val="Heading1"/>
        <w:spacing w:after="140" w:before="320"/>
      </w:pPr>
      <w:r>
        <w:rPr>
          <w:b/>
          <w:bCs/>
          <w:color w:val="D94E1F"/>
        </w:rPr>
        <w:t xml:space="preserve">6. Market (verified July 2026)</w:t>
      </w:r>
    </w:p>
    <w:tbl>
      <w:tblPr>
        <w:tblW w:type="dxa" w:w="9360"/>
        <w:tblBorders>
          <w:top w:val="single" w:color="E0C5B0" w:sz="4"/>
          <w:left w:val="single" w:color="E0C5B0" w:sz="4"/>
          <w:bottom w:val="single" w:color="E0C5B0" w:sz="4"/>
          <w:right w:val="single" w:color="E0C5B0" w:sz="4"/>
          <w:insideH w:val="single" w:color="EFDDCF" w:sz="4"/>
          <w:insideV w:val="single" w:color="EFDDCF" w:sz="4"/>
        </w:tblBorders>
      </w:tblPr>
      <w:tblGrid>
        <w:gridCol w:w="3900"/>
        <w:gridCol w:w="1700"/>
        <w:gridCol w:w="1900"/>
        <w:gridCol w:w="1860"/>
      </w:tblGrid>
      <w:tr>
        <w:trPr>
          <w:tblHeader/>
        </w:trPr>
        <w:tc>
          <w:tcPr>
            <w:tcW w:type="dxa" w:w="3900"/>
            <w:shd w:fill="F8DCCD" w:val="clear"/>
            <w:tcMar>
              <w:top w:type="dxa" w:w="60"/>
              <w:left w:type="dxa" w:w="100"/>
              <w:bottom w:type="dxa" w:w="60"/>
              <w:right w:type="dxa" w:w="100"/>
            </w:tcMar>
          </w:tcPr>
          <w:p>
            <w:r>
              <w:rPr>
                <w:b/>
                <w:bCs/>
                <w:color w:val="8F2E10"/>
                <w:sz w:val="18"/>
                <w:szCs w:val="18"/>
              </w:rPr>
              <w:t xml:space="preserve">Segment</w:t>
            </w:r>
          </w:p>
        </w:tc>
        <w:tc>
          <w:tcPr>
            <w:tcW w:type="dxa" w:w="1700"/>
            <w:shd w:fill="F8DCCD" w:val="clear"/>
            <w:tcMar>
              <w:top w:type="dxa" w:w="60"/>
              <w:left w:type="dxa" w:w="100"/>
              <w:bottom w:type="dxa" w:w="60"/>
              <w:right w:type="dxa" w:w="100"/>
            </w:tcMar>
          </w:tcPr>
          <w:p>
            <w:r>
              <w:rPr>
                <w:b/>
                <w:bCs/>
                <w:color w:val="8F2E10"/>
                <w:sz w:val="18"/>
                <w:szCs w:val="18"/>
              </w:rPr>
              <w:t xml:space="preserve">Size</w:t>
            </w:r>
          </w:p>
        </w:tc>
        <w:tc>
          <w:tcPr>
            <w:tcW w:type="dxa" w:w="1900"/>
            <w:shd w:fill="F8DCCD" w:val="clear"/>
            <w:tcMar>
              <w:top w:type="dxa" w:w="60"/>
              <w:left w:type="dxa" w:w="100"/>
              <w:bottom w:type="dxa" w:w="60"/>
              <w:right w:type="dxa" w:w="100"/>
            </w:tcMar>
          </w:tcPr>
          <w:p>
            <w:r>
              <w:rPr>
                <w:b/>
                <w:bCs/>
                <w:color w:val="8F2E10"/>
                <w:sz w:val="18"/>
                <w:szCs w:val="18"/>
              </w:rPr>
              <w:t xml:space="preserve">Pain level</w:t>
            </w:r>
          </w:p>
        </w:tc>
        <w:tc>
          <w:tcPr>
            <w:tcW w:type="dxa" w:w="1860"/>
            <w:shd w:fill="F8DCCD" w:val="clear"/>
            <w:tcMar>
              <w:top w:type="dxa" w:w="60"/>
              <w:left w:type="dxa" w:w="100"/>
              <w:bottom w:type="dxa" w:w="60"/>
              <w:right w:type="dxa" w:w="100"/>
            </w:tcMar>
          </w:tcPr>
          <w:p>
            <w:r>
              <w:rPr>
                <w:b/>
                <w:bCs/>
                <w:color w:val="8F2E10"/>
                <w:sz w:val="18"/>
                <w:szCs w:val="18"/>
              </w:rPr>
              <w:t xml:space="preserve">Addressable users</w:t>
            </w:r>
          </w:p>
        </w:tc>
      </w:tr>
      <w:tr>
        <w:tc>
          <w:tcPr>
            <w:tcW w:type="dxa" w:w="3900"/>
            <w:tcMar>
              <w:top w:type="dxa" w:w="60"/>
              <w:left w:type="dxa" w:w="100"/>
              <w:bottom w:type="dxa" w:w="60"/>
              <w:right w:type="dxa" w:w="100"/>
            </w:tcMar>
          </w:tcPr>
          <w:p>
            <w:r>
              <w:rPr>
                <w:b w:val="false"/>
                <w:bCs w:val="false"/>
                <w:color w:val="333333"/>
                <w:sz w:val="18"/>
                <w:szCs w:val="18"/>
              </w:rPr>
              <w:t xml:space="preserve">Tier 1 — SE Asian workers (VN, TH, PH, KH, ID, BD)</w:t>
            </w:r>
          </w:p>
        </w:tc>
        <w:tc>
          <w:tcPr>
            <w:tcW w:type="dxa" w:w="1700"/>
            <w:tcMar>
              <w:top w:type="dxa" w:w="60"/>
              <w:left w:type="dxa" w:w="100"/>
              <w:bottom w:type="dxa" w:w="60"/>
              <w:right w:type="dxa" w:w="100"/>
            </w:tcMar>
          </w:tcPr>
          <w:p>
            <w:r>
              <w:rPr>
                <w:b w:val="false"/>
                <w:bCs w:val="false"/>
                <w:color w:val="333333"/>
                <w:sz w:val="18"/>
                <w:szCs w:val="18"/>
              </w:rPr>
              <w:t xml:space="preserve">800K–1M</w:t>
            </w:r>
          </w:p>
        </w:tc>
        <w:tc>
          <w:tcPr>
            <w:tcW w:type="dxa" w:w="1900"/>
            <w:tcMar>
              <w:top w:type="dxa" w:w="60"/>
              <w:left w:type="dxa" w:w="100"/>
              <w:bottom w:type="dxa" w:w="60"/>
              <w:right w:type="dxa" w:w="100"/>
            </w:tcMar>
          </w:tcPr>
          <w:p>
            <w:r>
              <w:rPr>
                <w:b w:val="false"/>
                <w:bCs w:val="false"/>
                <w:color w:val="333333"/>
                <w:sz w:val="18"/>
                <w:szCs w:val="18"/>
              </w:rPr>
              <w:t xml:space="preserve">High–Very High</w:t>
            </w:r>
          </w:p>
        </w:tc>
        <w:tc>
          <w:tcPr>
            <w:tcW w:type="dxa" w:w="1860"/>
            <w:tcMar>
              <w:top w:type="dxa" w:w="60"/>
              <w:left w:type="dxa" w:w="100"/>
              <w:bottom w:type="dxa" w:w="60"/>
              <w:right w:type="dxa" w:w="100"/>
            </w:tcMar>
          </w:tcPr>
          <w:p>
            <w:r>
              <w:rPr>
                <w:b w:val="false"/>
                <w:bCs w:val="false"/>
                <w:color w:val="333333"/>
                <w:sz w:val="18"/>
                <w:szCs w:val="18"/>
              </w:rPr>
              <w:t xml:space="preserve">120K–245K</w:t>
            </w:r>
          </w:p>
        </w:tc>
      </w:tr>
      <w:tr>
        <w:tc>
          <w:tcPr>
            <w:tcW w:type="dxa" w:w="3900"/>
            <w:tcMar>
              <w:top w:type="dxa" w:w="60"/>
              <w:left w:type="dxa" w:w="100"/>
              <w:bottom w:type="dxa" w:w="60"/>
              <w:right w:type="dxa" w:w="100"/>
            </w:tcMar>
          </w:tcPr>
          <w:p>
            <w:r>
              <w:rPr>
                <w:b w:val="false"/>
                <w:bCs w:val="false"/>
                <w:color w:val="333333"/>
                <w:sz w:val="18"/>
                <w:szCs w:val="18"/>
              </w:rPr>
              <w:t xml:space="preserve">Tier 2 — Chinese + South Asian</w:t>
            </w:r>
          </w:p>
        </w:tc>
        <w:tc>
          <w:tcPr>
            <w:tcW w:type="dxa" w:w="1700"/>
            <w:tcMar>
              <w:top w:type="dxa" w:w="60"/>
              <w:left w:type="dxa" w:w="100"/>
              <w:bottom w:type="dxa" w:w="60"/>
              <w:right w:type="dxa" w:w="100"/>
            </w:tcMar>
          </w:tcPr>
          <w:p>
            <w:r>
              <w:rPr>
                <w:b w:val="false"/>
                <w:bCs w:val="false"/>
                <w:color w:val="333333"/>
                <w:sz w:val="18"/>
                <w:szCs w:val="18"/>
              </w:rPr>
              <w:t xml:space="preserve">~1.1M</w:t>
            </w:r>
          </w:p>
        </w:tc>
        <w:tc>
          <w:tcPr>
            <w:tcW w:type="dxa" w:w="1900"/>
            <w:tcMar>
              <w:top w:type="dxa" w:w="60"/>
              <w:left w:type="dxa" w:w="100"/>
              <w:bottom w:type="dxa" w:w="60"/>
              <w:right w:type="dxa" w:w="100"/>
            </w:tcMar>
          </w:tcPr>
          <w:p>
            <w:r>
              <w:rPr>
                <w:b w:val="false"/>
                <w:bCs w:val="false"/>
                <w:color w:val="333333"/>
                <w:sz w:val="18"/>
                <w:szCs w:val="18"/>
              </w:rPr>
              <w:t xml:space="preserve">Medium</w:t>
            </w:r>
          </w:p>
        </w:tc>
        <w:tc>
          <w:tcPr>
            <w:tcW w:type="dxa" w:w="1860"/>
            <w:tcMar>
              <w:top w:type="dxa" w:w="60"/>
              <w:left w:type="dxa" w:w="100"/>
              <w:bottom w:type="dxa" w:w="60"/>
              <w:right w:type="dxa" w:w="100"/>
            </w:tcMar>
          </w:tcPr>
          <w:p>
            <w:r>
              <w:rPr>
                <w:b w:val="false"/>
                <w:bCs w:val="false"/>
                <w:color w:val="333333"/>
                <w:sz w:val="18"/>
                <w:szCs w:val="18"/>
              </w:rPr>
              <w:t xml:space="preserve">55K–138K</w:t>
            </w:r>
          </w:p>
        </w:tc>
      </w:tr>
      <w:tr>
        <w:tc>
          <w:tcPr>
            <w:tcW w:type="dxa" w:w="3900"/>
            <w:tcMar>
              <w:top w:type="dxa" w:w="60"/>
              <w:left w:type="dxa" w:w="100"/>
              <w:bottom w:type="dxa" w:w="60"/>
              <w:right w:type="dxa" w:w="100"/>
            </w:tcMar>
          </w:tcPr>
          <w:p>
            <w:r>
              <w:rPr>
                <w:b w:val="false"/>
                <w:bCs w:val="false"/>
                <w:color w:val="333333"/>
                <w:sz w:val="18"/>
                <w:szCs w:val="18"/>
              </w:rPr>
              <w:t xml:space="preserve">Tier 3 — Western + Japanese expats</w:t>
            </w:r>
          </w:p>
        </w:tc>
        <w:tc>
          <w:tcPr>
            <w:tcW w:type="dxa" w:w="1700"/>
            <w:tcMar>
              <w:top w:type="dxa" w:w="60"/>
              <w:left w:type="dxa" w:w="100"/>
              <w:bottom w:type="dxa" w:w="60"/>
              <w:right w:type="dxa" w:w="100"/>
            </w:tcMar>
          </w:tcPr>
          <w:p>
            <w:r>
              <w:rPr>
                <w:b w:val="false"/>
                <w:bCs w:val="false"/>
                <w:color w:val="333333"/>
                <w:sz w:val="18"/>
                <w:szCs w:val="18"/>
              </w:rPr>
              <w:t xml:space="preserve">430K–530K</w:t>
            </w:r>
          </w:p>
        </w:tc>
        <w:tc>
          <w:tcPr>
            <w:tcW w:type="dxa" w:w="1900"/>
            <w:tcMar>
              <w:top w:type="dxa" w:w="60"/>
              <w:left w:type="dxa" w:w="100"/>
              <w:bottom w:type="dxa" w:w="60"/>
              <w:right w:type="dxa" w:w="100"/>
            </w:tcMar>
          </w:tcPr>
          <w:p>
            <w:r>
              <w:rPr>
                <w:b w:val="false"/>
                <w:bCs w:val="false"/>
                <w:color w:val="333333"/>
                <w:sz w:val="18"/>
                <w:szCs w:val="18"/>
              </w:rPr>
              <w:t xml:space="preserve">Low</w:t>
            </w:r>
          </w:p>
        </w:tc>
        <w:tc>
          <w:tcPr>
            <w:tcW w:type="dxa" w:w="1860"/>
            <w:tcMar>
              <w:top w:type="dxa" w:w="60"/>
              <w:left w:type="dxa" w:w="100"/>
              <w:bottom w:type="dxa" w:w="60"/>
              <w:right w:type="dxa" w:w="100"/>
            </w:tcMar>
          </w:tcPr>
          <w:p>
            <w:r>
              <w:rPr>
                <w:b w:val="false"/>
                <w:bCs w:val="false"/>
                <w:color w:val="333333"/>
                <w:sz w:val="18"/>
                <w:szCs w:val="18"/>
              </w:rPr>
              <w:t xml:space="preserve">9K–27K</w:t>
            </w:r>
          </w:p>
        </w:tc>
      </w:tr>
    </w:tbl>
    <w:p>
      <w:pPr>
        <w:spacing w:after="120"/>
      </w:pPr>
    </w:p>
    <w:p>
      <w:pPr>
        <w:spacing w:after="120"/>
      </w:pPr>
      <w:r>
        <w:rPr>
          <w:color w:val="333333"/>
        </w:rPr>
        <w:t xml:space="preserve">Total addressable market: ~185,000–410,000 users (conservative). Full details, sources, and assumptions: Foreign_Worker_Market_Research_FINAL.docx.</w:t>
      </w:r>
    </w:p>
    <w:p>
      <w:pPr>
        <w:pStyle w:val="ListParagraph"/>
        <w:numPr>
          <w:ilvl w:val="0"/>
          <w:numId w:val="2"/>
        </w:numPr>
        <w:spacing w:after="70"/>
      </w:pPr>
      <w:r>
        <w:rPr>
          <w:b/>
          <w:bCs/>
          <w:color w:val="333333"/>
        </w:rPr>
        <w:t xml:space="preserve">Headwind to watch: </w:t>
      </w:r>
      <w:r>
        <w:rPr>
          <w:color w:val="333333"/>
        </w:rPr>
        <w:t xml:space="preserve">E-9 annual quotas are shrinking (165K → 130K → 80K, 2024–2026). Growth must come from the existing resident base, students, and F-series long-term residents — not new-arrival inflow.</w:t>
      </w:r>
    </w:p>
    <w:p>
      <w:pPr>
        <w:pStyle w:val="Heading1"/>
        <w:spacing w:after="140" w:before="320"/>
      </w:pPr>
      <w:r>
        <w:rPr>
          <w:b/>
          <w:bCs/>
          <w:color w:val="D94E1F"/>
        </w:rPr>
        <w:t xml:space="preserve">7. Go-to-Market</w:t>
      </w:r>
    </w:p>
    <w:p>
      <w:pPr>
        <w:pStyle w:val="Heading2"/>
        <w:spacing w:after="100" w:before="220"/>
      </w:pPr>
      <w:r>
        <w:rPr>
          <w:b/>
          <w:bCs/>
          <w:color w:val="8F2E10"/>
          <w:sz w:val="24"/>
          <w:szCs w:val="24"/>
        </w:rPr>
        <w:t xml:space="preserve">Beachhead: one community, owned completely</w:t>
      </w:r>
    </w:p>
    <w:p>
      <w:pPr>
        <w:spacing w:after="120"/>
      </w:pPr>
      <w:r>
        <w:rPr>
          <w:color w:val="333333"/>
        </w:rPr>
        <w:t xml:space="preserve">Cambodia is the #2 source of E-9 workers, and the founder belongs to the community — speaks the language, is trusted, does research on AI and the labor market. That trust is a moat no funded competitor can buy quickly. The goal is not “users” in the abstract; it is to become the default way Cambodian workers in one city (Ansan) find and book care. Distribution: community Facebook groups, churches, NGOs, and word of mouth.</w:t>
      </w:r>
    </w:p>
    <w:p>
      <w:pPr>
        <w:pStyle w:val="Heading2"/>
        <w:spacing w:after="100" w:before="220"/>
      </w:pPr>
      <w:r>
        <w:rPr>
          <w:b/>
          <w:bCs/>
          <w:color w:val="8F2E10"/>
          <w:sz w:val="24"/>
          <w:szCs w:val="24"/>
        </w:rPr>
        <w:t xml:space="preserve">Depth before breadth</w:t>
      </w:r>
    </w:p>
    <w:p>
      <w:pPr>
        <w:spacing w:after="120"/>
      </w:pPr>
      <w:r>
        <w:rPr>
          <w:color w:val="333333"/>
        </w:rPr>
        <w:t xml:space="preserve">The mistake to avoid is going horizontal (“all foreigners, everything”) too early — that walks straight into Hanpass and the government portals. Instead: own the health-booking job for one community completely, prove the clinic loop and a B2G/NGO partnership there, then replicate the exact playbook to the next underserved community (Vietnamese, Nepali, Bengali) faster than a super-app can earn trust in any of them.</w:t>
      </w:r>
    </w:p>
    <w:p>
      <w:pPr>
        <w:spacing w:after="120"/>
      </w:pPr>
      <w:r>
        <w:rPr>
          <w:i/>
          <w:iCs/>
          <w:color w:val="777777"/>
          <w:sz w:val="18"/>
          <w:szCs w:val="18"/>
        </w:rPr>
        <w:t xml:space="preserve">The Claude-powered chat already answers in any language automatically — so language is not the constraint. The constraint is trust and the booking loop, community by community.</w:t>
      </w:r>
    </w:p>
    <w:p>
      <w:pPr>
        <w:pStyle w:val="Heading2"/>
        <w:spacing w:after="100" w:before="220"/>
      </w:pPr>
      <w:r>
        <w:rPr>
          <w:b/>
          <w:bCs/>
          <w:color w:val="8F2E10"/>
          <w:sz w:val="24"/>
          <w:szCs w:val="24"/>
        </w:rPr>
        <w:t xml:space="preserve">Serve, don’t compete, on the commodity layer</w:t>
      </w:r>
    </w:p>
    <w:p>
      <w:pPr>
        <w:spacing w:after="120"/>
      </w:pPr>
      <w:r>
        <w:rPr>
          <w:color w:val="333333"/>
        </w:rPr>
        <w:t xml:space="preserve">For worker-rights, visa admin, and general info, route users to the free government AI (MOEL, provincial portals) rather than rebuild it. This keeps K’Helper focused, lowers cost, and makes B2G partnerships easier — we look like a mission-aligned complement, not a competitor.</w:t>
      </w:r>
    </w:p>
    <w:p>
      <w:pPr>
        <w:pStyle w:val="Heading1"/>
        <w:spacing w:after="140" w:before="320"/>
      </w:pPr>
      <w:r>
        <w:rPr>
          <w:b/>
          <w:bCs/>
          <w:color w:val="D94E1F"/>
        </w:rPr>
        <w:t xml:space="preserve">8. Business Model</w:t>
      </w:r>
    </w:p>
    <w:p>
      <w:pPr>
        <w:pStyle w:val="Heading2"/>
        <w:spacing w:after="100" w:before="220"/>
      </w:pPr>
      <w:r>
        <w:rPr>
          <w:b/>
          <w:bCs/>
          <w:color w:val="8F2E10"/>
          <w:sz w:val="24"/>
          <w:szCs w:val="24"/>
        </w:rPr>
        <w:t xml:space="preserve">Primary engine: clinics pay for patients</w:t>
      </w:r>
    </w:p>
    <w:p>
      <w:pPr>
        <w:spacing w:after="120"/>
      </w:pPr>
      <w:r>
        <w:rPr>
          <w:color w:val="333333"/>
        </w:rPr>
        <w:t xml:space="preserve">The booking loop is the business. Clinics near industrial zones (Ansan, Hwaseong, Pyeongtaek) sit beside hundreds of thousands of foreign workers they cannot reach or serve efficiently. K’Helper delivers those patients with their intake already translated — zero front-desk friction. Clinics pay a monthly listing fee or a per-booking commission. This is the durable, defensible revenue no competitor offers.</w:t>
      </w:r>
    </w:p>
    <w:p>
      <w:pPr>
        <w:pStyle w:val="Heading2"/>
        <w:spacing w:after="100" w:before="220"/>
      </w:pPr>
      <w:r>
        <w:rPr>
          <w:b/>
          <w:bCs/>
          <w:color w:val="8F2E10"/>
          <w:sz w:val="24"/>
          <w:szCs w:val="24"/>
        </w:rPr>
        <w:t xml:space="preserve">Secondary: B2G and NGO</w:t>
      </w:r>
    </w:p>
    <w:p>
      <w:pPr>
        <w:pStyle w:val="ListParagraph"/>
        <w:numPr>
          <w:ilvl w:val="0"/>
          <w:numId w:val="2"/>
        </w:numPr>
        <w:spacing w:after="70"/>
      </w:pPr>
      <w:r>
        <w:rPr>
          <w:b/>
          <w:bCs/>
          <w:color w:val="333333"/>
        </w:rPr>
        <w:t xml:space="preserve">Provincial / municipal contracts: </w:t>
      </w:r>
      <w:r>
        <w:rPr>
          <w:color w:val="333333"/>
        </w:rPr>
        <w:t xml:space="preserve">B2G partnerships for migrant health access, targeting provinces Gyeonggi’s portal has not covered.</w:t>
      </w:r>
    </w:p>
    <w:p>
      <w:pPr>
        <w:pStyle w:val="ListParagraph"/>
        <w:numPr>
          <w:ilvl w:val="0"/>
          <w:numId w:val="2"/>
        </w:numPr>
        <w:spacing w:after="70"/>
      </w:pPr>
      <w:r>
        <w:rPr>
          <w:b/>
          <w:bCs/>
          <w:color w:val="333333"/>
        </w:rPr>
        <w:t xml:space="preserve">NGO + employer: </w:t>
      </w:r>
      <w:r>
        <w:rPr>
          <w:color w:val="333333"/>
        </w:rPr>
        <w:t xml:space="preserve">migrant-support orgs and E-9 employers who want a duty-of-care health channel for their people.</w:t>
      </w:r>
    </w:p>
    <w:p>
      <w:pPr>
        <w:pStyle w:val="Heading2"/>
        <w:spacing w:after="100" w:before="220"/>
      </w:pPr>
      <w:r>
        <w:rPr>
          <w:b/>
          <w:bCs/>
          <w:color w:val="8F2E10"/>
          <w:sz w:val="24"/>
          <w:szCs w:val="24"/>
        </w:rPr>
        <w:t xml:space="preserve">Consumer freemium: a top-up, not the plan</w:t>
      </w:r>
    </w:p>
    <w:p>
      <w:pPr>
        <w:spacing w:after="120"/>
      </w:pPr>
      <w:r>
        <w:rPr>
          <w:color w:val="333333"/>
        </w:rPr>
        <w:t xml:space="preserve">Free core help; optional premium (visa reminders, document help). On a low-income user base this is thin — treated as a top-up, not the foundation. Illustrative only:</w:t>
      </w:r>
    </w:p>
    <w:tbl>
      <w:tblPr>
        <w:tblW w:type="dxa" w:w="9360"/>
        <w:tblBorders>
          <w:top w:val="single" w:color="E0C5B0" w:sz="4"/>
          <w:left w:val="single" w:color="E0C5B0" w:sz="4"/>
          <w:bottom w:val="single" w:color="E0C5B0" w:sz="4"/>
          <w:right w:val="single" w:color="E0C5B0" w:sz="4"/>
          <w:insideH w:val="single" w:color="EFDDCF" w:sz="4"/>
          <w:insideV w:val="single" w:color="EFDDCF" w:sz="4"/>
        </w:tblBorders>
      </w:tblPr>
      <w:tblGrid>
        <w:gridCol w:w="2400"/>
        <w:gridCol w:w="2320"/>
        <w:gridCol w:w="2320"/>
        <w:gridCol w:w="2320"/>
      </w:tblGrid>
      <w:tr>
        <w:trPr>
          <w:tblHeader/>
        </w:trPr>
        <w:tc>
          <w:tcPr>
            <w:tcW w:type="dxa" w:w="2400"/>
            <w:shd w:fill="F8DCCD" w:val="clear"/>
            <w:tcMar>
              <w:top w:type="dxa" w:w="60"/>
              <w:left w:type="dxa" w:w="100"/>
              <w:bottom w:type="dxa" w:w="60"/>
              <w:right w:type="dxa" w:w="100"/>
            </w:tcMar>
          </w:tcPr>
          <w:p>
            <w:r>
              <w:rPr>
                <w:b/>
                <w:bCs/>
                <w:color w:val="8F2E10"/>
                <w:sz w:val="18"/>
                <w:szCs w:val="18"/>
              </w:rPr>
              <w:t xml:space="preserve">Scenario</w:t>
            </w:r>
          </w:p>
        </w:tc>
        <w:tc>
          <w:tcPr>
            <w:tcW w:type="dxa" w:w="2320"/>
            <w:shd w:fill="F8DCCD" w:val="clear"/>
            <w:tcMar>
              <w:top w:type="dxa" w:w="60"/>
              <w:left w:type="dxa" w:w="100"/>
              <w:bottom w:type="dxa" w:w="60"/>
              <w:right w:type="dxa" w:w="100"/>
            </w:tcMar>
          </w:tcPr>
          <w:p>
            <w:r>
              <w:rPr>
                <w:b/>
                <w:bCs/>
                <w:color w:val="8F2E10"/>
                <w:sz w:val="18"/>
                <w:szCs w:val="18"/>
              </w:rPr>
              <w:t xml:space="preserve">Booked visits/mo</w:t>
            </w:r>
          </w:p>
        </w:tc>
        <w:tc>
          <w:tcPr>
            <w:tcW w:type="dxa" w:w="2320"/>
            <w:shd w:fill="F8DCCD" w:val="clear"/>
            <w:tcMar>
              <w:top w:type="dxa" w:w="60"/>
              <w:left w:type="dxa" w:w="100"/>
              <w:bottom w:type="dxa" w:w="60"/>
              <w:right w:type="dxa" w:w="100"/>
            </w:tcMar>
          </w:tcPr>
          <w:p>
            <w:r>
              <w:rPr>
                <w:b/>
                <w:bCs/>
                <w:color w:val="8F2E10"/>
                <w:sz w:val="18"/>
                <w:szCs w:val="18"/>
              </w:rPr>
              <w:t xml:space="preserve">Fee/booking</w:t>
            </w:r>
          </w:p>
        </w:tc>
        <w:tc>
          <w:tcPr>
            <w:tcW w:type="dxa" w:w="2320"/>
            <w:shd w:fill="F8DCCD" w:val="clear"/>
            <w:tcMar>
              <w:top w:type="dxa" w:w="60"/>
              <w:left w:type="dxa" w:w="100"/>
              <w:bottom w:type="dxa" w:w="60"/>
              <w:right w:type="dxa" w:w="100"/>
            </w:tcMar>
          </w:tcPr>
          <w:p>
            <w:r>
              <w:rPr>
                <w:b/>
                <w:bCs/>
                <w:color w:val="8F2E10"/>
                <w:sz w:val="18"/>
                <w:szCs w:val="18"/>
              </w:rPr>
              <w:t xml:space="preserve">Annualized</w:t>
            </w:r>
          </w:p>
        </w:tc>
      </w:tr>
      <w:tr>
        <w:tc>
          <w:tcPr>
            <w:tcW w:type="dxa" w:w="2400"/>
            <w:tcMar>
              <w:top w:type="dxa" w:w="60"/>
              <w:left w:type="dxa" w:w="100"/>
              <w:bottom w:type="dxa" w:w="60"/>
              <w:right w:type="dxa" w:w="100"/>
            </w:tcMar>
          </w:tcPr>
          <w:p>
            <w:r>
              <w:rPr>
                <w:b w:val="false"/>
                <w:bCs w:val="false"/>
                <w:color w:val="333333"/>
                <w:sz w:val="18"/>
                <w:szCs w:val="18"/>
              </w:rPr>
              <w:t xml:space="preserve">Early</w:t>
            </w:r>
          </w:p>
        </w:tc>
        <w:tc>
          <w:tcPr>
            <w:tcW w:type="dxa" w:w="2320"/>
            <w:tcMar>
              <w:top w:type="dxa" w:w="60"/>
              <w:left w:type="dxa" w:w="100"/>
              <w:bottom w:type="dxa" w:w="60"/>
              <w:right w:type="dxa" w:w="100"/>
            </w:tcMar>
          </w:tcPr>
          <w:p>
            <w:r>
              <w:rPr>
                <w:b w:val="false"/>
                <w:bCs w:val="false"/>
                <w:color w:val="333333"/>
                <w:sz w:val="18"/>
                <w:szCs w:val="18"/>
              </w:rPr>
              <w:t xml:space="preserve">100</w:t>
            </w:r>
          </w:p>
        </w:tc>
        <w:tc>
          <w:tcPr>
            <w:tcW w:type="dxa" w:w="2320"/>
            <w:tcMar>
              <w:top w:type="dxa" w:w="60"/>
              <w:left w:type="dxa" w:w="100"/>
              <w:bottom w:type="dxa" w:w="60"/>
              <w:right w:type="dxa" w:w="100"/>
            </w:tcMar>
          </w:tcPr>
          <w:p>
            <w:r>
              <w:rPr>
                <w:b w:val="false"/>
                <w:bCs w:val="false"/>
                <w:color w:val="333333"/>
                <w:sz w:val="18"/>
                <w:szCs w:val="18"/>
              </w:rPr>
              <w:t xml:space="preserve">₩5,000</w:t>
            </w:r>
          </w:p>
        </w:tc>
        <w:tc>
          <w:tcPr>
            <w:tcW w:type="dxa" w:w="2320"/>
            <w:tcMar>
              <w:top w:type="dxa" w:w="60"/>
              <w:left w:type="dxa" w:w="100"/>
              <w:bottom w:type="dxa" w:w="60"/>
              <w:right w:type="dxa" w:w="100"/>
            </w:tcMar>
          </w:tcPr>
          <w:p>
            <w:r>
              <w:rPr>
                <w:b w:val="false"/>
                <w:bCs w:val="false"/>
                <w:color w:val="333333"/>
                <w:sz w:val="18"/>
                <w:szCs w:val="18"/>
              </w:rPr>
              <w:t xml:space="preserve">~$4K/yr</w:t>
            </w:r>
          </w:p>
        </w:tc>
      </w:tr>
      <w:tr>
        <w:tc>
          <w:tcPr>
            <w:tcW w:type="dxa" w:w="2400"/>
            <w:tcMar>
              <w:top w:type="dxa" w:w="60"/>
              <w:left w:type="dxa" w:w="100"/>
              <w:bottom w:type="dxa" w:w="60"/>
              <w:right w:type="dxa" w:w="100"/>
            </w:tcMar>
          </w:tcPr>
          <w:p>
            <w:r>
              <w:rPr>
                <w:b w:val="false"/>
                <w:bCs w:val="false"/>
                <w:color w:val="333333"/>
                <w:sz w:val="18"/>
                <w:szCs w:val="18"/>
              </w:rPr>
              <w:t xml:space="preserve">Traction</w:t>
            </w:r>
          </w:p>
        </w:tc>
        <w:tc>
          <w:tcPr>
            <w:tcW w:type="dxa" w:w="2320"/>
            <w:tcMar>
              <w:top w:type="dxa" w:w="60"/>
              <w:left w:type="dxa" w:w="100"/>
              <w:bottom w:type="dxa" w:w="60"/>
              <w:right w:type="dxa" w:w="100"/>
            </w:tcMar>
          </w:tcPr>
          <w:p>
            <w:r>
              <w:rPr>
                <w:b w:val="false"/>
                <w:bCs w:val="false"/>
                <w:color w:val="333333"/>
                <w:sz w:val="18"/>
                <w:szCs w:val="18"/>
              </w:rPr>
              <w:t xml:space="preserve">1,000</w:t>
            </w:r>
          </w:p>
        </w:tc>
        <w:tc>
          <w:tcPr>
            <w:tcW w:type="dxa" w:w="2320"/>
            <w:tcMar>
              <w:top w:type="dxa" w:w="60"/>
              <w:left w:type="dxa" w:w="100"/>
              <w:bottom w:type="dxa" w:w="60"/>
              <w:right w:type="dxa" w:w="100"/>
            </w:tcMar>
          </w:tcPr>
          <w:p>
            <w:r>
              <w:rPr>
                <w:b w:val="false"/>
                <w:bCs w:val="false"/>
                <w:color w:val="333333"/>
                <w:sz w:val="18"/>
                <w:szCs w:val="18"/>
              </w:rPr>
              <w:t xml:space="preserve">₩5,000</w:t>
            </w:r>
          </w:p>
        </w:tc>
        <w:tc>
          <w:tcPr>
            <w:tcW w:type="dxa" w:w="2320"/>
            <w:tcMar>
              <w:top w:type="dxa" w:w="60"/>
              <w:left w:type="dxa" w:w="100"/>
              <w:bottom w:type="dxa" w:w="60"/>
              <w:right w:type="dxa" w:w="100"/>
            </w:tcMar>
          </w:tcPr>
          <w:p>
            <w:r>
              <w:rPr>
                <w:b w:val="false"/>
                <w:bCs w:val="false"/>
                <w:color w:val="333333"/>
                <w:sz w:val="18"/>
                <w:szCs w:val="18"/>
              </w:rPr>
              <w:t xml:space="preserve">~$44K/yr</w:t>
            </w:r>
          </w:p>
        </w:tc>
      </w:tr>
      <w:tr>
        <w:tc>
          <w:tcPr>
            <w:tcW w:type="dxa" w:w="2400"/>
            <w:tcMar>
              <w:top w:type="dxa" w:w="60"/>
              <w:left w:type="dxa" w:w="100"/>
              <w:bottom w:type="dxa" w:w="60"/>
              <w:right w:type="dxa" w:w="100"/>
            </w:tcMar>
          </w:tcPr>
          <w:p>
            <w:r>
              <w:rPr>
                <w:b w:val="false"/>
                <w:bCs w:val="false"/>
                <w:color w:val="333333"/>
                <w:sz w:val="18"/>
                <w:szCs w:val="18"/>
              </w:rPr>
              <w:t xml:space="preserve">Scale (multi-community)</w:t>
            </w:r>
          </w:p>
        </w:tc>
        <w:tc>
          <w:tcPr>
            <w:tcW w:type="dxa" w:w="2320"/>
            <w:tcMar>
              <w:top w:type="dxa" w:w="60"/>
              <w:left w:type="dxa" w:w="100"/>
              <w:bottom w:type="dxa" w:w="60"/>
              <w:right w:type="dxa" w:w="100"/>
            </w:tcMar>
          </w:tcPr>
          <w:p>
            <w:r>
              <w:rPr>
                <w:b w:val="false"/>
                <w:bCs w:val="false"/>
                <w:color w:val="333333"/>
                <w:sz w:val="18"/>
                <w:szCs w:val="18"/>
              </w:rPr>
              <w:t xml:space="preserve">10,000</w:t>
            </w:r>
          </w:p>
        </w:tc>
        <w:tc>
          <w:tcPr>
            <w:tcW w:type="dxa" w:w="2320"/>
            <w:tcMar>
              <w:top w:type="dxa" w:w="60"/>
              <w:left w:type="dxa" w:w="100"/>
              <w:bottom w:type="dxa" w:w="60"/>
              <w:right w:type="dxa" w:w="100"/>
            </w:tcMar>
          </w:tcPr>
          <w:p>
            <w:r>
              <w:rPr>
                <w:b w:val="false"/>
                <w:bCs w:val="false"/>
                <w:color w:val="333333"/>
                <w:sz w:val="18"/>
                <w:szCs w:val="18"/>
              </w:rPr>
              <w:t xml:space="preserve">₩5,000</w:t>
            </w:r>
          </w:p>
        </w:tc>
        <w:tc>
          <w:tcPr>
            <w:tcW w:type="dxa" w:w="2320"/>
            <w:tcMar>
              <w:top w:type="dxa" w:w="60"/>
              <w:left w:type="dxa" w:w="100"/>
              <w:bottom w:type="dxa" w:w="60"/>
              <w:right w:type="dxa" w:w="100"/>
            </w:tcMar>
          </w:tcPr>
          <w:p>
            <w:r>
              <w:rPr>
                <w:b w:val="false"/>
                <w:bCs w:val="false"/>
                <w:color w:val="333333"/>
                <w:sz w:val="18"/>
                <w:szCs w:val="18"/>
              </w:rPr>
              <w:t xml:space="preserve">~$440K/yr</w:t>
            </w:r>
          </w:p>
        </w:tc>
      </w:tr>
    </w:tbl>
    <w:p>
      <w:pPr>
        <w:spacing w:after="120"/>
      </w:pPr>
      <w:r>
        <w:rPr>
          <w:i/>
          <w:iCs/>
          <w:color w:val="777777"/>
          <w:sz w:val="18"/>
          <w:szCs w:val="18"/>
        </w:rPr>
        <w:t xml:space="preserve">Booking economics shown instead of consumer-subscription fantasy math. Real numbers to be set by pilot; clinic willingness-to-pay is the key test, run in the roadmap’s “Prove the loop” phase.</w:t>
      </w:r>
    </w:p>
    <w:p>
      <w:pPr>
        <w:pStyle w:val="Heading1"/>
        <w:spacing w:after="140" w:before="320"/>
      </w:pPr>
      <w:r>
        <w:rPr>
          <w:b/>
          <w:bCs/>
          <w:color w:val="D94E1F"/>
        </w:rPr>
        <w:t xml:space="preserve">9. Competition</w:t>
      </w:r>
    </w:p>
    <w:p>
      <w:pPr>
        <w:spacing w:after="120"/>
      </w:pPr>
      <w:r>
        <w:rPr>
          <w:color w:val="333333"/>
        </w:rPr>
        <w:t xml:space="preserve">The market is crowding fast — 30+ players across foreigner-health apps, settlement super-apps, translation tools, and government AI. Honest read: the biggest threats are not the healthcare apps we first benchmarked against, but two forces that reshape our strategy.</w:t>
      </w:r>
    </w:p>
    <w:p>
      <w:pPr>
        <w:pStyle w:val="Heading2"/>
        <w:spacing w:after="100" w:before="220"/>
      </w:pPr>
      <w:r>
        <w:rPr>
          <w:b/>
          <w:bCs/>
          <w:color w:val="8F2E10"/>
          <w:sz w:val="24"/>
          <w:szCs w:val="24"/>
        </w:rPr>
        <w:t xml:space="preserve">The threat map</w:t>
      </w:r>
    </w:p>
    <w:tbl>
      <w:tblPr>
        <w:tblW w:type="dxa" w:w="9360"/>
        <w:tblBorders>
          <w:top w:val="single" w:color="E0C5B0" w:sz="4"/>
          <w:left w:val="single" w:color="E0C5B0" w:sz="4"/>
          <w:bottom w:val="single" w:color="E0C5B0" w:sz="4"/>
          <w:right w:val="single" w:color="E0C5B0" w:sz="4"/>
          <w:insideH w:val="single" w:color="EFDDCF" w:sz="4"/>
          <w:insideV w:val="single" w:color="EFDDCF" w:sz="4"/>
        </w:tblBorders>
      </w:tblPr>
      <w:tblGrid>
        <w:gridCol w:w="2100"/>
        <w:gridCol w:w="1700"/>
        <w:gridCol w:w="1300"/>
        <w:gridCol w:w="4260"/>
      </w:tblGrid>
      <w:tr>
        <w:trPr>
          <w:tblHeader/>
        </w:trPr>
        <w:tc>
          <w:tcPr>
            <w:tcW w:type="dxa" w:w="2100"/>
            <w:shd w:fill="F8DCCD" w:val="clear"/>
            <w:tcMar>
              <w:top w:type="dxa" w:w="60"/>
              <w:left w:type="dxa" w:w="100"/>
              <w:bottom w:type="dxa" w:w="60"/>
              <w:right w:type="dxa" w:w="100"/>
            </w:tcMar>
          </w:tcPr>
          <w:p>
            <w:r>
              <w:rPr>
                <w:b/>
                <w:bCs/>
                <w:color w:val="8F2E10"/>
                <w:sz w:val="18"/>
                <w:szCs w:val="18"/>
              </w:rPr>
              <w:t xml:space="preserve">Competitor</w:t>
            </w:r>
          </w:p>
        </w:tc>
        <w:tc>
          <w:tcPr>
            <w:tcW w:type="dxa" w:w="1700"/>
            <w:shd w:fill="F8DCCD" w:val="clear"/>
            <w:tcMar>
              <w:top w:type="dxa" w:w="60"/>
              <w:left w:type="dxa" w:w="100"/>
              <w:bottom w:type="dxa" w:w="60"/>
              <w:right w:type="dxa" w:w="100"/>
            </w:tcMar>
          </w:tcPr>
          <w:p>
            <w:r>
              <w:rPr>
                <w:b/>
                <w:bCs/>
                <w:color w:val="8F2E10"/>
                <w:sz w:val="18"/>
                <w:szCs w:val="18"/>
              </w:rPr>
              <w:t xml:space="preserve">Type</w:t>
            </w:r>
          </w:p>
        </w:tc>
        <w:tc>
          <w:tcPr>
            <w:tcW w:type="dxa" w:w="1300"/>
            <w:shd w:fill="F8DCCD" w:val="clear"/>
            <w:tcMar>
              <w:top w:type="dxa" w:w="60"/>
              <w:left w:type="dxa" w:w="100"/>
              <w:bottom w:type="dxa" w:w="60"/>
              <w:right w:type="dxa" w:w="100"/>
            </w:tcMar>
          </w:tcPr>
          <w:p>
            <w:r>
              <w:rPr>
                <w:b/>
                <w:bCs/>
                <w:color w:val="8F2E10"/>
                <w:sz w:val="18"/>
                <w:szCs w:val="18"/>
              </w:rPr>
              <w:t xml:space="preserve">Threat</w:t>
            </w:r>
          </w:p>
        </w:tc>
        <w:tc>
          <w:tcPr>
            <w:tcW w:type="dxa" w:w="4260"/>
            <w:shd w:fill="F8DCCD" w:val="clear"/>
            <w:tcMar>
              <w:top w:type="dxa" w:w="60"/>
              <w:left w:type="dxa" w:w="100"/>
              <w:bottom w:type="dxa" w:w="60"/>
              <w:right w:type="dxa" w:w="100"/>
            </w:tcMar>
          </w:tcPr>
          <w:p>
            <w:r>
              <w:rPr>
                <w:b/>
                <w:bCs/>
                <w:color w:val="8F2E10"/>
                <w:sz w:val="18"/>
                <w:szCs w:val="18"/>
              </w:rPr>
              <w:t xml:space="preserve">Why it matters to us</w:t>
            </w:r>
          </w:p>
        </w:tc>
      </w:tr>
      <w:tr>
        <w:tc>
          <w:tcPr>
            <w:tcW w:type="dxa" w:w="2100"/>
            <w:tcMar>
              <w:top w:type="dxa" w:w="60"/>
              <w:left w:type="dxa" w:w="100"/>
              <w:bottom w:type="dxa" w:w="60"/>
              <w:right w:type="dxa" w:w="100"/>
            </w:tcMar>
          </w:tcPr>
          <w:p>
            <w:r>
              <w:rPr>
                <w:b w:val="false"/>
                <w:bCs w:val="false"/>
                <w:color w:val="333333"/>
                <w:sz w:val="18"/>
                <w:szCs w:val="18"/>
              </w:rPr>
              <w:t xml:space="preserve">Hanpass</w:t>
            </w:r>
          </w:p>
        </w:tc>
        <w:tc>
          <w:tcPr>
            <w:tcW w:type="dxa" w:w="1700"/>
            <w:tcMar>
              <w:top w:type="dxa" w:w="60"/>
              <w:left w:type="dxa" w:w="100"/>
              <w:bottom w:type="dxa" w:w="60"/>
              <w:right w:type="dxa" w:w="100"/>
            </w:tcMar>
          </w:tcPr>
          <w:p>
            <w:r>
              <w:rPr>
                <w:b w:val="false"/>
                <w:bCs w:val="false"/>
                <w:color w:val="333333"/>
                <w:sz w:val="18"/>
                <w:szCs w:val="18"/>
              </w:rPr>
              <w:t xml:space="preserve">Fintech super-app</w:t>
            </w:r>
          </w:p>
        </w:tc>
        <w:tc>
          <w:tcPr>
            <w:tcW w:type="dxa" w:w="1300"/>
            <w:tcMar>
              <w:top w:type="dxa" w:w="60"/>
              <w:left w:type="dxa" w:w="100"/>
              <w:bottom w:type="dxa" w:w="60"/>
              <w:right w:type="dxa" w:w="100"/>
            </w:tcMar>
          </w:tcPr>
          <w:p>
            <w:r>
              <w:rPr>
                <w:b w:val="false"/>
                <w:bCs w:val="false"/>
                <w:color w:val="333333"/>
                <w:sz w:val="18"/>
                <w:szCs w:val="18"/>
              </w:rPr>
              <w:t xml:space="preserve">Critical</w:t>
            </w:r>
          </w:p>
        </w:tc>
        <w:tc>
          <w:tcPr>
            <w:tcW w:type="dxa" w:w="4260"/>
            <w:tcMar>
              <w:top w:type="dxa" w:w="60"/>
              <w:left w:type="dxa" w:w="100"/>
              <w:bottom w:type="dxa" w:w="60"/>
              <w:right w:type="dxa" w:w="100"/>
            </w:tcMar>
          </w:tcPr>
          <w:p>
            <w:r>
              <w:rPr>
                <w:b w:val="false"/>
                <w:bCs w:val="false"/>
                <w:color w:val="333333"/>
                <w:sz w:val="18"/>
                <w:szCs w:val="18"/>
              </w:rPr>
              <w:t xml:space="preserve">KOSDAQ-listed (~₩200B), 19-language call center, millions of paying remittance users; declared pivot to an AI life super-app for 2.5M foreigners — the distribution and capital we lack.</w:t>
            </w:r>
          </w:p>
        </w:tc>
      </w:tr>
      <w:tr>
        <w:tc>
          <w:tcPr>
            <w:tcW w:type="dxa" w:w="2100"/>
            <w:tcMar>
              <w:top w:type="dxa" w:w="60"/>
              <w:left w:type="dxa" w:w="100"/>
              <w:bottom w:type="dxa" w:w="60"/>
              <w:right w:type="dxa" w:w="100"/>
            </w:tcMar>
          </w:tcPr>
          <w:p>
            <w:r>
              <w:rPr>
                <w:b w:val="false"/>
                <w:bCs w:val="false"/>
                <w:color w:val="333333"/>
                <w:sz w:val="18"/>
                <w:szCs w:val="18"/>
              </w:rPr>
              <w:t xml:space="preserve">Gov AI (Gyeonggi, MOEL)</w:t>
            </w:r>
          </w:p>
        </w:tc>
        <w:tc>
          <w:tcPr>
            <w:tcW w:type="dxa" w:w="1700"/>
            <w:tcMar>
              <w:top w:type="dxa" w:w="60"/>
              <w:left w:type="dxa" w:w="100"/>
              <w:bottom w:type="dxa" w:w="60"/>
              <w:right w:type="dxa" w:w="100"/>
            </w:tcMar>
          </w:tcPr>
          <w:p>
            <w:r>
              <w:rPr>
                <w:b w:val="false"/>
                <w:bCs w:val="false"/>
                <w:color w:val="333333"/>
                <w:sz w:val="18"/>
                <w:szCs w:val="18"/>
              </w:rPr>
              <w:t xml:space="preserve">Government</w:t>
            </w:r>
          </w:p>
        </w:tc>
        <w:tc>
          <w:tcPr>
            <w:tcW w:type="dxa" w:w="1300"/>
            <w:tcMar>
              <w:top w:type="dxa" w:w="60"/>
              <w:left w:type="dxa" w:w="100"/>
              <w:bottom w:type="dxa" w:w="60"/>
              <w:right w:type="dxa" w:w="100"/>
            </w:tcMar>
          </w:tcPr>
          <w:p>
            <w:r>
              <w:rPr>
                <w:b w:val="false"/>
                <w:bCs w:val="false"/>
                <w:color w:val="333333"/>
                <w:sz w:val="18"/>
                <w:szCs w:val="18"/>
              </w:rPr>
              <w:t xml:space="preserve">Structural</w:t>
            </w:r>
          </w:p>
        </w:tc>
        <w:tc>
          <w:tcPr>
            <w:tcW w:type="dxa" w:w="4260"/>
            <w:tcMar>
              <w:top w:type="dxa" w:w="60"/>
              <w:left w:type="dxa" w:w="100"/>
              <w:bottom w:type="dxa" w:w="60"/>
              <w:right w:type="dxa" w:w="100"/>
            </w:tcMar>
          </w:tcPr>
          <w:p>
            <w:r>
              <w:rPr>
                <w:b w:val="false"/>
                <w:bCs w:val="false"/>
                <w:color w:val="333333"/>
                <w:sz w:val="18"/>
                <w:szCs w:val="18"/>
              </w:rPr>
              <w:t xml:space="preserve">Free, authoritative AI answering visa, labor, and life questions in 30+ languages (MOEL: 173 attorney reviewers, ~117K consultations). Commoditizes general information.</w:t>
            </w:r>
          </w:p>
        </w:tc>
      </w:tr>
      <w:tr>
        <w:tc>
          <w:tcPr>
            <w:tcW w:type="dxa" w:w="2100"/>
            <w:tcMar>
              <w:top w:type="dxa" w:w="60"/>
              <w:left w:type="dxa" w:w="100"/>
              <w:bottom w:type="dxa" w:w="60"/>
              <w:right w:type="dxa" w:w="100"/>
            </w:tcMar>
          </w:tcPr>
          <w:p>
            <w:r>
              <w:rPr>
                <w:b w:val="false"/>
                <w:bCs w:val="false"/>
                <w:color w:val="333333"/>
                <w:sz w:val="18"/>
                <w:szCs w:val="18"/>
              </w:rPr>
              <w:t xml:space="preserve">DAGACHI</w:t>
            </w:r>
          </w:p>
        </w:tc>
        <w:tc>
          <w:tcPr>
            <w:tcW w:type="dxa" w:w="1700"/>
            <w:tcMar>
              <w:top w:type="dxa" w:w="60"/>
              <w:left w:type="dxa" w:w="100"/>
              <w:bottom w:type="dxa" w:w="60"/>
              <w:right w:type="dxa" w:w="100"/>
            </w:tcMar>
          </w:tcPr>
          <w:p>
            <w:r>
              <w:rPr>
                <w:b w:val="false"/>
                <w:bCs w:val="false"/>
                <w:color w:val="333333"/>
                <w:sz w:val="18"/>
                <w:szCs w:val="18"/>
              </w:rPr>
              <w:t xml:space="preserve">Settlement super-app</w:t>
            </w:r>
          </w:p>
        </w:tc>
        <w:tc>
          <w:tcPr>
            <w:tcW w:type="dxa" w:w="1300"/>
            <w:tcMar>
              <w:top w:type="dxa" w:w="60"/>
              <w:left w:type="dxa" w:w="100"/>
              <w:bottom w:type="dxa" w:w="60"/>
              <w:right w:type="dxa" w:w="100"/>
            </w:tcMar>
          </w:tcPr>
          <w:p>
            <w:r>
              <w:rPr>
                <w:b w:val="false"/>
                <w:bCs w:val="false"/>
                <w:color w:val="333333"/>
                <w:sz w:val="18"/>
                <w:szCs w:val="18"/>
              </w:rPr>
              <w:t xml:space="preserve">High</w:t>
            </w:r>
          </w:p>
        </w:tc>
        <w:tc>
          <w:tcPr>
            <w:tcW w:type="dxa" w:w="4260"/>
            <w:tcMar>
              <w:top w:type="dxa" w:w="60"/>
              <w:left w:type="dxa" w:w="100"/>
              <w:bottom w:type="dxa" w:w="60"/>
              <w:right w:type="dxa" w:w="100"/>
            </w:tcMar>
          </w:tcPr>
          <w:p>
            <w:r>
              <w:rPr>
                <w:b w:val="false"/>
                <w:bCs w:val="false"/>
                <w:color w:val="333333"/>
                <w:sz w:val="18"/>
                <w:szCs w:val="18"/>
              </w:rPr>
              <w:t xml:space="preserve">16 languages incl. Khmer/Burmese, 250+ institutional partners, 5,000+ signups in 2 months — same B2B playbook, moving fast.</w:t>
            </w:r>
          </w:p>
        </w:tc>
      </w:tr>
      <w:tr>
        <w:tc>
          <w:tcPr>
            <w:tcW w:type="dxa" w:w="2100"/>
            <w:tcMar>
              <w:top w:type="dxa" w:w="60"/>
              <w:left w:type="dxa" w:w="100"/>
              <w:bottom w:type="dxa" w:w="60"/>
              <w:right w:type="dxa" w:w="100"/>
            </w:tcMar>
          </w:tcPr>
          <w:p>
            <w:r>
              <w:rPr>
                <w:b w:val="false"/>
                <w:bCs w:val="false"/>
                <w:color w:val="333333"/>
                <w:sz w:val="18"/>
                <w:szCs w:val="18"/>
              </w:rPr>
              <w:t xml:space="preserve">INMEDIC / imdr</w:t>
            </w:r>
          </w:p>
        </w:tc>
        <w:tc>
          <w:tcPr>
            <w:tcW w:type="dxa" w:w="1700"/>
            <w:tcMar>
              <w:top w:type="dxa" w:w="60"/>
              <w:left w:type="dxa" w:w="100"/>
              <w:bottom w:type="dxa" w:w="60"/>
              <w:right w:type="dxa" w:w="100"/>
            </w:tcMar>
          </w:tcPr>
          <w:p>
            <w:r>
              <w:rPr>
                <w:b w:val="false"/>
                <w:bCs w:val="false"/>
                <w:color w:val="333333"/>
                <w:sz w:val="18"/>
                <w:szCs w:val="18"/>
              </w:rPr>
              <w:t xml:space="preserve">Health apps</w:t>
            </w:r>
          </w:p>
        </w:tc>
        <w:tc>
          <w:tcPr>
            <w:tcW w:type="dxa" w:w="1300"/>
            <w:tcMar>
              <w:top w:type="dxa" w:w="60"/>
              <w:left w:type="dxa" w:w="100"/>
              <w:bottom w:type="dxa" w:w="60"/>
              <w:right w:type="dxa" w:w="100"/>
            </w:tcMar>
          </w:tcPr>
          <w:p>
            <w:r>
              <w:rPr>
                <w:b w:val="false"/>
                <w:bCs w:val="false"/>
                <w:color w:val="333333"/>
                <w:sz w:val="18"/>
                <w:szCs w:val="18"/>
              </w:rPr>
              <w:t xml:space="preserve">Moderate</w:t>
            </w:r>
          </w:p>
        </w:tc>
        <w:tc>
          <w:tcPr>
            <w:tcW w:type="dxa" w:w="4260"/>
            <w:tcMar>
              <w:top w:type="dxa" w:w="60"/>
              <w:left w:type="dxa" w:w="100"/>
              <w:bottom w:type="dxa" w:w="60"/>
              <w:right w:type="dxa" w:w="100"/>
            </w:tcMar>
          </w:tcPr>
          <w:p>
            <w:r>
              <w:rPr>
                <w:b w:val="false"/>
                <w:bCs w:val="false"/>
                <w:color w:val="333333"/>
                <w:sz w:val="18"/>
                <w:szCs w:val="18"/>
              </w:rPr>
              <w:t xml:space="preserve">Closest to our health features, but human-interpreter cost model and near-zero consumer traction (INMEDIC ~100 installs). Validated B2G, cannot acquire consumers.</w:t>
            </w:r>
          </w:p>
        </w:tc>
      </w:tr>
    </w:tbl>
    <w:p>
      <w:pPr>
        <w:pStyle w:val="Heading2"/>
        <w:spacing w:after="100" w:before="220"/>
      </w:pPr>
      <w:r>
        <w:rPr>
          <w:b/>
          <w:bCs/>
          <w:color w:val="8F2E10"/>
          <w:sz w:val="24"/>
          <w:szCs w:val="24"/>
        </w:rPr>
        <w:t xml:space="preserve">What this means — and how we win</w:t>
      </w:r>
    </w:p>
    <w:p>
      <w:pPr>
        <w:pStyle w:val="ListParagraph"/>
        <w:numPr>
          <w:ilvl w:val="0"/>
          <w:numId w:val="2"/>
        </w:numPr>
        <w:spacing w:after="70"/>
      </w:pPr>
      <w:r>
        <w:rPr>
          <w:b/>
          <w:bCs/>
          <w:color w:val="333333"/>
        </w:rPr>
        <w:t xml:space="preserve">Do not compete on “free information.” </w:t>
      </w:r>
      <w:r>
        <w:rPr>
          <w:color w:val="333333"/>
        </w:rPr>
        <w:t xml:space="preserve">Government AI gives it away with authority a startup cannot match. We route worker-rights and admin questions to MOEL/government and integrate, rather than fight a free, authoritative incumbent.</w:t>
      </w:r>
    </w:p>
    <w:p>
      <w:pPr>
        <w:pStyle w:val="ListParagraph"/>
        <w:numPr>
          <w:ilvl w:val="0"/>
          <w:numId w:val="2"/>
        </w:numPr>
        <w:spacing w:after="70"/>
      </w:pPr>
      <w:r>
        <w:rPr>
          <w:b/>
          <w:bCs/>
          <w:color w:val="333333"/>
        </w:rPr>
        <w:t xml:space="preserve">Win on the transaction, not the answer. </w:t>
      </w:r>
      <w:r>
        <w:rPr>
          <w:color w:val="333333"/>
        </w:rPr>
        <w:t xml:space="preserve">Every competitor that reached scale did it through a transaction (Hanpass: remittance; DAGACHI: community). Information does not retain or monetize. Our transaction is clinic booking with translated pre-intake — the one action no portal, translation app, or remittance app offers.</w:t>
      </w:r>
    </w:p>
    <w:p>
      <w:pPr>
        <w:pStyle w:val="ListParagraph"/>
        <w:numPr>
          <w:ilvl w:val="0"/>
          <w:numId w:val="2"/>
        </w:numPr>
        <w:spacing w:after="70"/>
      </w:pPr>
      <w:r>
        <w:rPr>
          <w:b/>
          <w:bCs/>
          <w:color w:val="333333"/>
        </w:rPr>
        <w:t xml:space="preserve">Own the user they cannot serve. </w:t>
      </w:r>
      <w:r>
        <w:rPr>
          <w:color w:val="333333"/>
        </w:rPr>
        <w:t xml:space="preserve">Human-interpreter apps are priced for insured / medical-tourism patients; super-apps and portals target foreigners generically. The uninsured, low-income migrant worker is unprofitable or invisible to all of them. That is our beachhead.</w:t>
      </w:r>
    </w:p>
    <w:p>
      <w:pPr>
        <w:pStyle w:val="ListParagraph"/>
        <w:numPr>
          <w:ilvl w:val="0"/>
          <w:numId w:val="2"/>
        </w:numPr>
        <w:spacing w:after="70"/>
      </w:pPr>
      <w:r>
        <w:rPr>
          <w:b/>
          <w:bCs/>
          <w:color w:val="333333"/>
        </w:rPr>
        <w:t xml:space="preserve">Speed is the whole game. </w:t>
      </w:r>
      <w:r>
        <w:rPr>
          <w:color w:val="333333"/>
        </w:rPr>
        <w:t xml:space="preserve">Our only current edge over Hanpass is that we are live and its AI is not yet shipped — an edge that expires the day they ship. Lock in one community and the booking loop before the landgrab reaches our segment.</w:t>
      </w:r>
    </w:p>
    <w:p>
      <w:pPr>
        <w:spacing w:after="120"/>
      </w:pPr>
      <w:r>
        <w:rPr>
          <w:b/>
          <w:bCs/>
          <w:color w:val="333333"/>
        </w:rPr>
        <w:t xml:space="preserve">Durable moat: founder-embedded community trust none of them can manufacture quickly, a two-sided booking loop, and an AI cost structure the human-interpreter players cannot match. We do not out-resource Hanpass or out-authorize the government — we go narrow and deep where they will not follow.</w:t>
      </w:r>
    </w:p>
    <w:p>
      <w:pPr>
        <w:pStyle w:val="Heading1"/>
        <w:spacing w:after="140" w:before="320"/>
      </w:pPr>
      <w:r>
        <w:rPr>
          <w:b/>
          <w:bCs/>
          <w:color w:val="D94E1F"/>
        </w:rPr>
        <w:t xml:space="preserve">10. Roadmap</w:t>
      </w:r>
    </w:p>
    <w:p>
      <w:pPr>
        <w:spacing w:after="120"/>
      </w:pPr>
      <w:r>
        <w:rPr>
          <w:i/>
          <w:iCs/>
          <w:color w:val="777777"/>
          <w:sz w:val="18"/>
          <w:szCs w:val="18"/>
        </w:rPr>
        <w:t xml:space="preserve">Ordered around the transaction and speed, not a user-count vanity ladder. The clock is Hanpass’s unshipped AI and the government portal rollout.</w:t>
      </w:r>
    </w:p>
    <w:tbl>
      <w:tblPr>
        <w:tblW w:type="dxa" w:w="9360"/>
        <w:tblBorders>
          <w:top w:val="single" w:color="E0C5B0" w:sz="4"/>
          <w:left w:val="single" w:color="E0C5B0" w:sz="4"/>
          <w:bottom w:val="single" w:color="E0C5B0" w:sz="4"/>
          <w:right w:val="single" w:color="E0C5B0" w:sz="4"/>
          <w:insideH w:val="single" w:color="EFDDCF" w:sz="4"/>
          <w:insideV w:val="single" w:color="EFDDCF" w:sz="4"/>
        </w:tblBorders>
      </w:tblPr>
      <w:tblGrid>
        <w:gridCol w:w="1900"/>
        <w:gridCol w:w="1700"/>
        <w:gridCol w:w="2200"/>
        <w:gridCol w:w="3560"/>
      </w:tblGrid>
      <w:tr>
        <w:trPr>
          <w:tblHeader/>
        </w:trPr>
        <w:tc>
          <w:tcPr>
            <w:tcW w:type="dxa" w:w="1900"/>
            <w:shd w:fill="F8DCCD" w:val="clear"/>
            <w:tcMar>
              <w:top w:type="dxa" w:w="60"/>
              <w:left w:type="dxa" w:w="100"/>
              <w:bottom w:type="dxa" w:w="60"/>
              <w:right w:type="dxa" w:w="100"/>
            </w:tcMar>
          </w:tcPr>
          <w:p>
            <w:r>
              <w:rPr>
                <w:b/>
                <w:bCs/>
                <w:color w:val="8F2E10"/>
                <w:sz w:val="18"/>
                <w:szCs w:val="18"/>
              </w:rPr>
              <w:t xml:space="preserve">Phase</w:t>
            </w:r>
          </w:p>
        </w:tc>
        <w:tc>
          <w:tcPr>
            <w:tcW w:type="dxa" w:w="1700"/>
            <w:shd w:fill="F8DCCD" w:val="clear"/>
            <w:tcMar>
              <w:top w:type="dxa" w:w="60"/>
              <w:left w:type="dxa" w:w="100"/>
              <w:bottom w:type="dxa" w:w="60"/>
              <w:right w:type="dxa" w:w="100"/>
            </w:tcMar>
          </w:tcPr>
          <w:p>
            <w:r>
              <w:rPr>
                <w:b/>
                <w:bCs/>
                <w:color w:val="8F2E10"/>
                <w:sz w:val="18"/>
                <w:szCs w:val="18"/>
              </w:rPr>
              <w:t xml:space="preserve">Window</w:t>
            </w:r>
          </w:p>
        </w:tc>
        <w:tc>
          <w:tcPr>
            <w:tcW w:type="dxa" w:w="2200"/>
            <w:shd w:fill="F8DCCD" w:val="clear"/>
            <w:tcMar>
              <w:top w:type="dxa" w:w="60"/>
              <w:left w:type="dxa" w:w="100"/>
              <w:bottom w:type="dxa" w:w="60"/>
              <w:right w:type="dxa" w:w="100"/>
            </w:tcMar>
          </w:tcPr>
          <w:p>
            <w:r>
              <w:rPr>
                <w:b/>
                <w:bCs/>
                <w:color w:val="8F2E10"/>
                <w:sz w:val="18"/>
                <w:szCs w:val="18"/>
              </w:rPr>
              <w:t xml:space="preserve">Goal</w:t>
            </w:r>
          </w:p>
        </w:tc>
        <w:tc>
          <w:tcPr>
            <w:tcW w:type="dxa" w:w="3560"/>
            <w:shd w:fill="F8DCCD" w:val="clear"/>
            <w:tcMar>
              <w:top w:type="dxa" w:w="60"/>
              <w:left w:type="dxa" w:w="100"/>
              <w:bottom w:type="dxa" w:w="60"/>
              <w:right w:type="dxa" w:w="100"/>
            </w:tcMar>
          </w:tcPr>
          <w:p>
            <w:r>
              <w:rPr>
                <w:b/>
                <w:bCs/>
                <w:color w:val="8F2E10"/>
                <w:sz w:val="18"/>
                <w:szCs w:val="18"/>
              </w:rPr>
              <w:t xml:space="preserve">Key moves</w:t>
            </w:r>
          </w:p>
        </w:tc>
      </w:tr>
      <w:tr>
        <w:tc>
          <w:tcPr>
            <w:tcW w:type="dxa" w:w="1900"/>
            <w:tcMar>
              <w:top w:type="dxa" w:w="60"/>
              <w:left w:type="dxa" w:w="100"/>
              <w:bottom w:type="dxa" w:w="60"/>
              <w:right w:type="dxa" w:w="100"/>
            </w:tcMar>
          </w:tcPr>
          <w:p>
            <w:r>
              <w:rPr>
                <w:b w:val="false"/>
                <w:bCs w:val="false"/>
                <w:color w:val="333333"/>
                <w:sz w:val="18"/>
                <w:szCs w:val="18"/>
              </w:rPr>
              <w:t xml:space="preserve">Lock the community</w:t>
            </w:r>
          </w:p>
        </w:tc>
        <w:tc>
          <w:tcPr>
            <w:tcW w:type="dxa" w:w="1700"/>
            <w:tcMar>
              <w:top w:type="dxa" w:w="60"/>
              <w:left w:type="dxa" w:w="100"/>
              <w:bottom w:type="dxa" w:w="60"/>
              <w:right w:type="dxa" w:w="100"/>
            </w:tcMar>
          </w:tcPr>
          <w:p>
            <w:r>
              <w:rPr>
                <w:b w:val="false"/>
                <w:bCs w:val="false"/>
                <w:color w:val="333333"/>
                <w:sz w:val="18"/>
                <w:szCs w:val="18"/>
              </w:rPr>
              <w:t xml:space="preserve">Now – Sep 2026</w:t>
            </w:r>
          </w:p>
        </w:tc>
        <w:tc>
          <w:tcPr>
            <w:tcW w:type="dxa" w:w="2200"/>
            <w:tcMar>
              <w:top w:type="dxa" w:w="60"/>
              <w:left w:type="dxa" w:w="100"/>
              <w:bottom w:type="dxa" w:w="60"/>
              <w:right w:type="dxa" w:w="100"/>
            </w:tcMar>
          </w:tcPr>
          <w:p>
            <w:r>
              <w:rPr>
                <w:b w:val="false"/>
                <w:bCs w:val="false"/>
                <w:color w:val="333333"/>
                <w:sz w:val="18"/>
                <w:szCs w:val="18"/>
              </w:rPr>
              <w:t xml:space="preserve">50 daily users in one city (Ansan)</w:t>
            </w:r>
          </w:p>
        </w:tc>
        <w:tc>
          <w:tcPr>
            <w:tcW w:type="dxa" w:w="3560"/>
            <w:tcMar>
              <w:top w:type="dxa" w:w="60"/>
              <w:left w:type="dxa" w:w="100"/>
              <w:bottom w:type="dxa" w:w="60"/>
              <w:right w:type="dxa" w:w="100"/>
            </w:tcMar>
          </w:tcPr>
          <w:p>
            <w:r>
              <w:rPr>
                <w:b w:val="false"/>
                <w:bCs w:val="false"/>
                <w:color w:val="333333"/>
                <w:sz w:val="18"/>
                <w:szCs w:val="18"/>
              </w:rPr>
              <w:t xml:space="preserve">Cambodian community launch; watch real usage; add photo-a-document + visa reminders as the daily hooks</w:t>
            </w:r>
          </w:p>
        </w:tc>
      </w:tr>
      <w:tr>
        <w:tc>
          <w:tcPr>
            <w:tcW w:type="dxa" w:w="1900"/>
            <w:tcMar>
              <w:top w:type="dxa" w:w="60"/>
              <w:left w:type="dxa" w:w="100"/>
              <w:bottom w:type="dxa" w:w="60"/>
              <w:right w:type="dxa" w:w="100"/>
            </w:tcMar>
          </w:tcPr>
          <w:p>
            <w:r>
              <w:rPr>
                <w:b w:val="false"/>
                <w:bCs w:val="false"/>
                <w:color w:val="333333"/>
                <w:sz w:val="18"/>
                <w:szCs w:val="18"/>
              </w:rPr>
              <w:t xml:space="preserve">Ship the transaction</w:t>
            </w:r>
          </w:p>
        </w:tc>
        <w:tc>
          <w:tcPr>
            <w:tcW w:type="dxa" w:w="1700"/>
            <w:tcMar>
              <w:top w:type="dxa" w:w="60"/>
              <w:left w:type="dxa" w:w="100"/>
              <w:bottom w:type="dxa" w:w="60"/>
              <w:right w:type="dxa" w:w="100"/>
            </w:tcMar>
          </w:tcPr>
          <w:p>
            <w:r>
              <w:rPr>
                <w:b w:val="false"/>
                <w:bCs w:val="false"/>
                <w:color w:val="333333"/>
                <w:sz w:val="18"/>
                <w:szCs w:val="18"/>
              </w:rPr>
              <w:t xml:space="preserve">Oct – Dec 2026</w:t>
            </w:r>
          </w:p>
        </w:tc>
        <w:tc>
          <w:tcPr>
            <w:tcW w:type="dxa" w:w="2200"/>
            <w:tcMar>
              <w:top w:type="dxa" w:w="60"/>
              <w:left w:type="dxa" w:w="100"/>
              <w:bottom w:type="dxa" w:w="60"/>
              <w:right w:type="dxa" w:w="100"/>
            </w:tcMar>
          </w:tcPr>
          <w:p>
            <w:r>
              <w:rPr>
                <w:b w:val="false"/>
                <w:bCs w:val="false"/>
                <w:color w:val="333333"/>
                <w:sz w:val="18"/>
                <w:szCs w:val="18"/>
              </w:rPr>
              <w:t xml:space="preserve">First 100 booked visits</w:t>
            </w:r>
          </w:p>
        </w:tc>
        <w:tc>
          <w:tcPr>
            <w:tcW w:type="dxa" w:w="3560"/>
            <w:tcMar>
              <w:top w:type="dxa" w:w="60"/>
              <w:left w:type="dxa" w:w="100"/>
              <w:bottom w:type="dxa" w:w="60"/>
              <w:right w:type="dxa" w:w="100"/>
            </w:tcMar>
          </w:tcPr>
          <w:p>
            <w:r>
              <w:rPr>
                <w:b w:val="false"/>
                <w:bCs w:val="false"/>
                <w:color w:val="333333"/>
                <w:sz w:val="18"/>
                <w:szCs w:val="18"/>
              </w:rPr>
              <w:t xml:space="preserve">Concierge booking with 5–10 partner clinics; translated pre-intake; route worker-rights Q&amp;A to MOEL</w:t>
            </w:r>
          </w:p>
        </w:tc>
      </w:tr>
      <w:tr>
        <w:tc>
          <w:tcPr>
            <w:tcW w:type="dxa" w:w="1900"/>
            <w:tcMar>
              <w:top w:type="dxa" w:w="60"/>
              <w:left w:type="dxa" w:w="100"/>
              <w:bottom w:type="dxa" w:w="60"/>
              <w:right w:type="dxa" w:w="100"/>
            </w:tcMar>
          </w:tcPr>
          <w:p>
            <w:r>
              <w:rPr>
                <w:b w:val="false"/>
                <w:bCs w:val="false"/>
                <w:color w:val="333333"/>
                <w:sz w:val="18"/>
                <w:szCs w:val="18"/>
              </w:rPr>
              <w:t xml:space="preserve">Prove the loop</w:t>
            </w:r>
          </w:p>
        </w:tc>
        <w:tc>
          <w:tcPr>
            <w:tcW w:type="dxa" w:w="1700"/>
            <w:tcMar>
              <w:top w:type="dxa" w:w="60"/>
              <w:left w:type="dxa" w:w="100"/>
              <w:bottom w:type="dxa" w:w="60"/>
              <w:right w:type="dxa" w:w="100"/>
            </w:tcMar>
          </w:tcPr>
          <w:p>
            <w:r>
              <w:rPr>
                <w:b w:val="false"/>
                <w:bCs w:val="false"/>
                <w:color w:val="333333"/>
                <w:sz w:val="18"/>
                <w:szCs w:val="18"/>
              </w:rPr>
              <w:t xml:space="preserve">2027</w:t>
            </w:r>
          </w:p>
        </w:tc>
        <w:tc>
          <w:tcPr>
            <w:tcW w:type="dxa" w:w="2200"/>
            <w:tcMar>
              <w:top w:type="dxa" w:w="60"/>
              <w:left w:type="dxa" w:w="100"/>
              <w:bottom w:type="dxa" w:w="60"/>
              <w:right w:type="dxa" w:w="100"/>
            </w:tcMar>
          </w:tcPr>
          <w:p>
            <w:r>
              <w:rPr>
                <w:b w:val="false"/>
                <w:bCs w:val="false"/>
                <w:color w:val="333333"/>
                <w:sz w:val="18"/>
                <w:szCs w:val="18"/>
              </w:rPr>
              <w:t xml:space="preserve">Paying clinics + first B2G province</w:t>
            </w:r>
          </w:p>
        </w:tc>
        <w:tc>
          <w:tcPr>
            <w:tcW w:type="dxa" w:w="3560"/>
            <w:tcMar>
              <w:top w:type="dxa" w:w="60"/>
              <w:left w:type="dxa" w:w="100"/>
              <w:bottom w:type="dxa" w:w="60"/>
              <w:right w:type="dxa" w:w="100"/>
            </w:tcMar>
          </w:tcPr>
          <w:p>
            <w:r>
              <w:rPr>
                <w:b w:val="false"/>
                <w:bCs w:val="false"/>
                <w:color w:val="333333"/>
                <w:sz w:val="18"/>
                <w:szCs w:val="18"/>
              </w:rPr>
              <w:t xml:space="preserve">Per-booking fee or clinic listing; NGO + provincial partnership outside Gyeonggi; add a technical co-founder</w:t>
            </w:r>
          </w:p>
        </w:tc>
      </w:tr>
      <w:tr>
        <w:tc>
          <w:tcPr>
            <w:tcW w:type="dxa" w:w="1900"/>
            <w:tcMar>
              <w:top w:type="dxa" w:w="60"/>
              <w:left w:type="dxa" w:w="100"/>
              <w:bottom w:type="dxa" w:w="60"/>
              <w:right w:type="dxa" w:w="100"/>
            </w:tcMar>
          </w:tcPr>
          <w:p>
            <w:r>
              <w:rPr>
                <w:b w:val="false"/>
                <w:bCs w:val="false"/>
                <w:color w:val="333333"/>
                <w:sz w:val="18"/>
                <w:szCs w:val="18"/>
              </w:rPr>
              <w:t xml:space="preserve">Replicate</w:t>
            </w:r>
          </w:p>
        </w:tc>
        <w:tc>
          <w:tcPr>
            <w:tcW w:type="dxa" w:w="1700"/>
            <w:tcMar>
              <w:top w:type="dxa" w:w="60"/>
              <w:left w:type="dxa" w:w="100"/>
              <w:bottom w:type="dxa" w:w="60"/>
              <w:right w:type="dxa" w:w="100"/>
            </w:tcMar>
          </w:tcPr>
          <w:p>
            <w:r>
              <w:rPr>
                <w:b w:val="false"/>
                <w:bCs w:val="false"/>
                <w:color w:val="333333"/>
                <w:sz w:val="18"/>
                <w:szCs w:val="18"/>
              </w:rPr>
              <w:t xml:space="preserve">2027–2028</w:t>
            </w:r>
          </w:p>
        </w:tc>
        <w:tc>
          <w:tcPr>
            <w:tcW w:type="dxa" w:w="2200"/>
            <w:tcMar>
              <w:top w:type="dxa" w:w="60"/>
              <w:left w:type="dxa" w:w="100"/>
              <w:bottom w:type="dxa" w:w="60"/>
              <w:right w:type="dxa" w:w="100"/>
            </w:tcMar>
          </w:tcPr>
          <w:p>
            <w:r>
              <w:rPr>
                <w:b w:val="false"/>
                <w:bCs w:val="false"/>
                <w:color w:val="333333"/>
                <w:sz w:val="18"/>
                <w:szCs w:val="18"/>
              </w:rPr>
              <w:t xml:space="preserve">Second and third communities</w:t>
            </w:r>
          </w:p>
        </w:tc>
        <w:tc>
          <w:tcPr>
            <w:tcW w:type="dxa" w:w="3560"/>
            <w:tcMar>
              <w:top w:type="dxa" w:w="60"/>
              <w:left w:type="dxa" w:w="100"/>
              <w:bottom w:type="dxa" w:w="60"/>
              <w:right w:type="dxa" w:w="100"/>
            </w:tcMar>
          </w:tcPr>
          <w:p>
            <w:r>
              <w:rPr>
                <w:b w:val="false"/>
                <w:bCs w:val="false"/>
                <w:color w:val="333333"/>
                <w:sz w:val="18"/>
                <w:szCs w:val="18"/>
              </w:rPr>
              <w:t xml:space="preserve">Copy the playbook to Vietnamese / Nepali / Bengali; booking volume as the moat</w:t>
            </w:r>
          </w:p>
        </w:tc>
      </w:tr>
    </w:tbl>
    <w:p>
      <w:pPr>
        <w:pStyle w:val="Heading1"/>
        <w:spacing w:after="140" w:before="320"/>
      </w:pPr>
      <w:r>
        <w:rPr>
          <w:b/>
          <w:bCs/>
          <w:color w:val="D94E1F"/>
        </w:rPr>
        <w:t xml:space="preserve">11. Costs &amp; Runway</w:t>
      </w:r>
    </w:p>
    <w:p>
      <w:pPr>
        <w:pStyle w:val="ListParagraph"/>
        <w:numPr>
          <w:ilvl w:val="0"/>
          <w:numId w:val="2"/>
        </w:numPr>
        <w:spacing w:after="70"/>
      </w:pPr>
      <w:r>
        <w:rPr>
          <w:b/>
          <w:bCs/>
          <w:color w:val="333333"/>
        </w:rPr>
        <w:t xml:space="preserve">Fixed: </w:t>
      </w:r>
      <w:r>
        <w:rPr>
          <w:color w:val="333333"/>
        </w:rPr>
        <w:t xml:space="preserve">domain + Netlify free tier — under $20/yr.</w:t>
      </w:r>
    </w:p>
    <w:p>
      <w:pPr>
        <w:pStyle w:val="ListParagraph"/>
        <w:numPr>
          <w:ilvl w:val="0"/>
          <w:numId w:val="2"/>
        </w:numPr>
        <w:spacing w:after="70"/>
      </w:pPr>
      <w:r>
        <w:rPr>
          <w:b/>
          <w:bCs/>
          <w:color w:val="333333"/>
        </w:rPr>
        <w:t xml:space="preserve">Variable: </w:t>
      </w:r>
      <w:r>
        <w:rPr>
          <w:color w:val="333333"/>
        </w:rPr>
        <w:t xml:space="preserve">Claude API per conversation; rate limiting caps exposure. At 50–500 active users, under $100/mo.</w:t>
      </w:r>
    </w:p>
    <w:p>
      <w:pPr>
        <w:pStyle w:val="ListParagraph"/>
        <w:numPr>
          <w:ilvl w:val="0"/>
          <w:numId w:val="2"/>
        </w:numPr>
        <w:spacing w:after="70"/>
      </w:pPr>
      <w:r>
        <w:rPr>
          <w:b/>
          <w:bCs/>
          <w:color w:val="333333"/>
        </w:rPr>
        <w:t xml:space="preserve">Implication: </w:t>
      </w:r>
      <w:r>
        <w:rPr>
          <w:color w:val="333333"/>
        </w:rPr>
        <w:t xml:space="preserve">the product reaches its first booked visits on near-zero capital. A raise funds a technical hire and clinic-partnership expansion — not survival.</w:t>
      </w:r>
    </w:p>
    <w:p>
      <w:pPr>
        <w:pStyle w:val="Heading1"/>
        <w:spacing w:after="140" w:before="320"/>
      </w:pPr>
      <w:r>
        <w:rPr>
          <w:b/>
          <w:bCs/>
          <w:color w:val="D94E1F"/>
        </w:rPr>
        <w:t xml:space="preserve">12. Risks</w:t>
      </w:r>
    </w:p>
    <w:p>
      <w:pPr>
        <w:pStyle w:val="ListParagraph"/>
        <w:numPr>
          <w:ilvl w:val="0"/>
          <w:numId w:val="2"/>
        </w:numPr>
        <w:spacing w:after="70"/>
      </w:pPr>
      <w:r>
        <w:rPr>
          <w:b/>
          <w:bCs/>
          <w:color w:val="333333"/>
        </w:rPr>
        <w:t xml:space="preserve">Hanpass / super-apps ship AI: </w:t>
      </w:r>
      <w:r>
        <w:rPr>
          <w:color w:val="333333"/>
        </w:rPr>
        <w:t xml:space="preserve">they out-resource us on breadth → we do not compete on breadth; we own booking + one community’s trust before they arrive.</w:t>
      </w:r>
    </w:p>
    <w:p>
      <w:pPr>
        <w:pStyle w:val="ListParagraph"/>
        <w:numPr>
          <w:ilvl w:val="0"/>
          <w:numId w:val="2"/>
        </w:numPr>
        <w:spacing w:after="70"/>
      </w:pPr>
      <w:r>
        <w:rPr>
          <w:b/>
          <w:bCs/>
          <w:color w:val="333333"/>
        </w:rPr>
        <w:t xml:space="preserve">Government AI commoditizes info: </w:t>
      </w:r>
      <w:r>
        <w:rPr>
          <w:color w:val="333333"/>
        </w:rPr>
        <w:t xml:space="preserve">free, authoritative → we integrate and route to it rather than compete; our value is the action (booking), not the answer.</w:t>
      </w:r>
    </w:p>
    <w:p>
      <w:pPr>
        <w:pStyle w:val="ListParagraph"/>
        <w:numPr>
          <w:ilvl w:val="0"/>
          <w:numId w:val="2"/>
        </w:numPr>
        <w:spacing w:after="70"/>
      </w:pPr>
      <w:r>
        <w:rPr>
          <w:b/>
          <w:bCs/>
          <w:color w:val="333333"/>
        </w:rPr>
        <w:t xml:space="preserve">Medical/legal liability: </w:t>
      </w:r>
      <w:r>
        <w:rPr>
          <w:color w:val="333333"/>
        </w:rPr>
        <w:t xml:space="preserve">a wrong health or visa answer can harm a vulnerable user and destroy trust in a tight community → guidance-not-advice framing, “verify with X”, human-escalation paths, and the AI saying “I’m not sure” rather than guessing.</w:t>
      </w:r>
    </w:p>
    <w:p>
      <w:pPr>
        <w:pStyle w:val="ListParagraph"/>
        <w:numPr>
          <w:ilvl w:val="0"/>
          <w:numId w:val="2"/>
        </w:numPr>
        <w:spacing w:after="70"/>
      </w:pPr>
      <w:r>
        <w:rPr>
          <w:b/>
          <w:bCs/>
          <w:color w:val="333333"/>
        </w:rPr>
        <w:t xml:space="preserve">Founder constraints: </w:t>
      </w:r>
      <w:r>
        <w:rPr>
          <w:color w:val="333333"/>
        </w:rPr>
        <w:t xml:space="preserve">built solo with AI; visa status and no technical team are real limits → first raise / partnership priority is a technical co-founder and visa path.</w:t>
      </w:r>
    </w:p>
    <w:p>
      <w:pPr>
        <w:pStyle w:val="ListParagraph"/>
        <w:numPr>
          <w:ilvl w:val="0"/>
          <w:numId w:val="2"/>
        </w:numPr>
        <w:spacing w:after="70"/>
      </w:pPr>
      <w:r>
        <w:rPr>
          <w:b/>
          <w:bCs/>
          <w:color w:val="333333"/>
        </w:rPr>
        <w:t xml:space="preserve">Monetization on a poor user base: </w:t>
      </w:r>
      <w:r>
        <w:rPr>
          <w:color w:val="333333"/>
        </w:rPr>
        <w:t xml:space="preserve">consumer freemium is thin → revenue comes from clinics and B2G, started in parallel with user growth, not after.</w:t>
      </w:r>
    </w:p>
    <w:p>
      <w:pPr>
        <w:pStyle w:val="Heading1"/>
        <w:spacing w:after="140" w:before="320"/>
      </w:pPr>
      <w:r>
        <w:rPr>
          <w:b/>
          <w:bCs/>
          <w:color w:val="D94E1F"/>
        </w:rPr>
        <w:t xml:space="preserve">13. Priorities Right Now</w:t>
      </w:r>
    </w:p>
    <w:p>
      <w:pPr>
        <w:pStyle w:val="ListParagraph"/>
        <w:numPr>
          <w:ilvl w:val="0"/>
          <w:numId w:val="3"/>
        </w:numPr>
        <w:spacing w:after="70"/>
      </w:pPr>
      <w:r>
        <w:rPr>
          <w:b/>
          <w:bCs/>
          <w:color w:val="333333"/>
        </w:rPr>
        <w:t xml:space="preserve">Get 20 real users this week </w:t>
      </w:r>
      <w:r>
        <w:rPr>
          <w:color w:val="333333"/>
        </w:rPr>
        <w:t xml:space="preserve">— one post in Cambodian community groups; watch them use it, fix what breaks. Everything else is theory until this exists.</w:t>
      </w:r>
    </w:p>
    <w:p>
      <w:pPr>
        <w:pStyle w:val="ListParagraph"/>
        <w:numPr>
          <w:ilvl w:val="0"/>
          <w:numId w:val="3"/>
        </w:numPr>
        <w:spacing w:after="70"/>
      </w:pPr>
      <w:r>
        <w:rPr>
          <w:b/>
          <w:bCs/>
          <w:color w:val="333333"/>
        </w:rPr>
        <w:t xml:space="preserve">Ship the booking flow </w:t>
      </w:r>
      <w:r>
        <w:rPr>
          <w:color w:val="333333"/>
        </w:rPr>
        <w:t xml:space="preserve">— concierge is fine: user taps Book, we relay to a partner clinic by KakaoTalk with translated intake. The transaction is the company.</w:t>
      </w:r>
    </w:p>
    <w:p>
      <w:pPr>
        <w:pStyle w:val="ListParagraph"/>
        <w:numPr>
          <w:ilvl w:val="0"/>
          <w:numId w:val="3"/>
        </w:numPr>
        <w:spacing w:after="70"/>
      </w:pPr>
      <w:r>
        <w:rPr>
          <w:b/>
          <w:bCs/>
          <w:color w:val="333333"/>
        </w:rPr>
        <w:t xml:space="preserve">Sign the first 3 clinics </w:t>
      </w:r>
      <w:r>
        <w:rPr>
          <w:color w:val="333333"/>
        </w:rPr>
        <w:t xml:space="preserve">— walk into Ansan clinics; offer pre-translated foreign patients. One yes proves the two-sided loop.</w:t>
      </w:r>
    </w:p>
    <w:p>
      <w:pPr>
        <w:pStyle w:val="ListParagraph"/>
        <w:numPr>
          <w:ilvl w:val="0"/>
          <w:numId w:val="3"/>
        </w:numPr>
        <w:spacing w:after="70"/>
      </w:pPr>
      <w:r>
        <w:rPr>
          <w:b/>
          <w:bCs/>
          <w:color w:val="333333"/>
        </w:rPr>
        <w:t xml:space="preserve">Add the two daily hooks </w:t>
      </w:r>
      <w:r>
        <w:rPr>
          <w:color w:val="333333"/>
        </w:rPr>
        <w:t xml:space="preserve">— photo-a-document explainer (shareable) and visa-expiry push reminders (retention). Demote the other topics.</w:t>
      </w:r>
    </w:p>
    <w:p>
      <w:pPr>
        <w:pStyle w:val="ListParagraph"/>
        <w:numPr>
          <w:ilvl w:val="0"/>
          <w:numId w:val="3"/>
        </w:numPr>
        <w:spacing w:after="70"/>
      </w:pPr>
      <w:r>
        <w:rPr>
          <w:b/>
          <w:bCs/>
          <w:color w:val="333333"/>
        </w:rPr>
        <w:t xml:space="preserve">Set the safety framing </w:t>
      </w:r>
      <w:r>
        <w:rPr>
          <w:color w:val="333333"/>
        </w:rPr>
        <w:t xml:space="preserve">— guidance-not-advice, escalation to 1345/MOEL, “verify with X.” Protect the trust that is your only moat.</w:t>
      </w:r>
    </w:p>
    <w:p>
      <w:pPr>
        <w:pStyle w:val="ListParagraph"/>
        <w:numPr>
          <w:ilvl w:val="0"/>
          <w:numId w:val="3"/>
        </w:numPr>
        <w:spacing w:after="70"/>
      </w:pPr>
      <w:r>
        <w:rPr>
          <w:b/>
          <w:bCs/>
          <w:color w:val="333333"/>
        </w:rPr>
        <w:t xml:space="preserve">Find a technical co-founder </w:t>
      </w:r>
      <w:r>
        <w:rPr>
          <w:color w:val="333333"/>
        </w:rPr>
        <w:t xml:space="preserve">— you cannot scale a booking marketplace solo on AI-built code. This is the real unlock.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abstractNum>
  <w:abstractNum w:abstractNumId="3" w15:restartNumberingAfterBreak="0">
    <w:multiLevelType w:val="hybridMultilevel"/>
    <w:lvl w:ilvl="0" w15:tentative="1">
      <w:start w:val="1"/>
      <w:numFmt w:val="decimal"/>
      <w:lvlText w:val="%1."/>
      <w:lvlJc w:val="left"/>
      <w:pPr>
        <w:ind w:left="576" w:hanging="360"/>
      </w:pPr>
    </w:lvl>
  </w:abstractNum>
  <w:abstractNum w:abstractNumId="4" w15:restartNumberingAfterBreak="0">
    <w:multiLevelType w:val="hybridMultilevel"/>
    <w:lvl w:ilvl="0" w15:tentative="1">
      <w:start w:val="1"/>
      <w:numFmt w:val="decimal"/>
      <w:lvlText w:val="%1."/>
      <w:lvlJc w:val="left"/>
      <w:pPr>
        <w:ind w:left="576" w:hanging="360"/>
      </w:pPr>
    </w:lvl>
  </w:abstractNum>
  <w:abstractNum w:abstractNumId="5"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2026-07-27T11:52:06.325Z</dcterms:created>
  <dcterms:modified xsi:type="dcterms:W3CDTF">2026-07-27T11:52:06.326Z</dcterms:modified>
</cp:coreProperties>
</file>

<file path=docProps/custom.xml><?xml version="1.0" encoding="utf-8"?>
<Properties xmlns="http://schemas.openxmlformats.org/officeDocument/2006/custom-properties" xmlns:vt="http://schemas.openxmlformats.org/officeDocument/2006/docPropsVTypes"/>
</file>