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VAE-Based Synthetic Minority-Class Augmentation for Skin Lesion Classification</w:t>
      </w:r>
    </w:p>
    <w:p>
      <w:pPr>
        <w:spacing w:after="400"/>
      </w:pPr>
      <w:r>
        <w:rPr>
          <w:i/>
          <w:iCs/>
          <w:color w:val="555555"/>
          <w:sz w:val="24"/>
          <w:szCs w:val="24"/>
        </w:rPr>
        <w:t xml:space="preserve">A Comparative Study on the HAM10000 Dataset (DenseNet-121 baseline vs. classical oversampling vs. VAE-balanced training)</w:t>
      </w:r>
    </w:p>
    <w:p>
      <w:pPr>
        <w:pStyle w:val="Heading1"/>
        <w:spacing w:after="150" w:before="300"/>
      </w:pPr>
      <w:r>
        <w:t xml:space="preserve">Abstract</w:t>
      </w:r>
    </w:p>
    <w:p>
      <w:pPr>
        <w:spacing w:after="160"/>
      </w:pPr>
      <w:r>
        <w:t xml:space="preserve">This project investigated whether class-specific Variational Autoencoder (VAE) synthetic image generation can improve minority-class recognition on the HAM10000 skin lesion dataset, which exhibits substantial natural class imbalance (majority class ‘nv’: 4,712 training images; rarest class ‘df’: 82 training images, a ~57:1 ratio). A DenseNet-121 classifier was trained under four conditions using an identical architecture, optimizer, and training schedule: (C0) the original imbalanced data, (C1) classical inverse-frequency oversampling, (C2) VAE-generated synthetic images balancing each minority class to 50% of the majority count, and (C3) VAE-generated images fully equalizing all classes. At the tested seed, VAE-based balancing (C2, C3) produced the highest macro-F1 (0.650 and 0.649 respectively, vs. 0.616 for the imbalanced baseline) and the clearest improvement in the rarest class’s recall (df: 0.167 → 0.333), while classical oversampling (C1) underperformed the baseline overall (macro-F1 0.583). However, a paired bootstrap significance test found none of the three balancing conditions produced a statistically significant improvement over the baseline at a single seed (95% confidence intervals for the macro-F1 difference all included zero). The results are reported as an honest, single-seed pilot finding: a promising but not yet statistically confirmed positive trend for VAE-based balancing, with classical oversampling shown not to help under the same conditions.</w:t>
      </w:r>
    </w:p>
    <w:p>
      <w:pPr>
        <w:pStyle w:val="Heading1"/>
        <w:spacing w:after="150" w:before="300"/>
      </w:pPr>
      <w:r>
        <w:t xml:space="preserve">1. Objective</w:t>
      </w:r>
    </w:p>
    <w:p>
      <w:pPr>
        <w:spacing w:after="160"/>
      </w:pPr>
      <w:r>
        <w:t xml:space="preserve">To evaluate whether VAE-generated synthetic minority-class images improve classification performance — particularly minority-class recall, precision, F1-score, and discriminative ability (AUROC) — on a naturally imbalanced medical imaging dataset, compared against (a) the original imbalanced data and (b) a classical oversampling control, in order to isolate whether any observed benefit is attributable specifically to VAE-based generation rather than balancing in general.</w:t>
      </w:r>
    </w:p>
    <w:p>
      <w:pPr>
        <w:pStyle w:val="Heading1"/>
        <w:spacing w:after="150" w:before="300"/>
      </w:pPr>
      <w:r>
        <w:t xml:space="preserve">2. Dataset</w:t>
      </w:r>
    </w:p>
    <w:p>
      <w:pPr>
        <w:spacing w:after="160"/>
      </w:pPr>
      <w:r>
        <w:t xml:space="preserve">HAM10000 (“Human Against Machine with 10000 training images”), a dermatoscopic image dataset of seven diagnostic categories, was used in its natural, unmodified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60"/>
      </w:tblGrid>
      <w:tr>
        <w:trPr>
          <w:cantSplit/>
        </w:trPr>
        <w:tc>
          <w:tcPr>
            <w:tcW w:type="dxa" w:w="2000"/>
            <w:shd w:fill="2F5496" w:val="clear"/>
          </w:tcPr>
          <w:p>
            <w:r>
              <w:rPr>
                <w:b/>
                <w:bCs/>
                <w:color w:val="FFFFFF"/>
              </w:rPr>
              <w:t xml:space="preserve">Class</w:t>
            </w:r>
          </w:p>
        </w:tc>
        <w:tc>
          <w:tcPr>
            <w:tcW w:type="dxa" w:w="2500"/>
            <w:shd w:fill="2F5496" w:val="clear"/>
          </w:tcPr>
          <w:p>
            <w:r>
              <w:rPr>
                <w:b/>
                <w:bCs/>
                <w:color w:val="FFFFFF"/>
              </w:rPr>
              <w:t xml:space="preserve">Full-dataset count</w:t>
            </w:r>
          </w:p>
        </w:tc>
        <w:tc>
          <w:tcPr>
            <w:tcW w:type="dxa" w:w="5060"/>
            <w:shd w:fill="2F5496" w:val="clear"/>
          </w:tcPr>
          <w:p>
            <w:r>
              <w:rPr>
                <w:b/>
                <w:bCs/>
                <w:color w:val="FFFFFF"/>
              </w:rPr>
              <w:t xml:space="preserve">Description</w:t>
            </w:r>
          </w:p>
        </w:tc>
      </w:tr>
      <w:tr>
        <w:trPr>
          <w:cantSplit/>
        </w:trPr>
        <w:tc>
          <w:tcPr>
            <w:tcW w:type="dxa" w:w="2000"/>
          </w:tcPr>
          <w:p>
            <w:r>
              <w:t xml:space="preserve">nv</w:t>
            </w:r>
          </w:p>
        </w:tc>
        <w:tc>
          <w:tcPr>
            <w:tcW w:type="dxa" w:w="2500"/>
          </w:tcPr>
          <w:p>
            <w:r>
              <w:t xml:space="preserve">6,705</w:t>
            </w:r>
          </w:p>
        </w:tc>
        <w:tc>
          <w:tcPr>
            <w:tcW w:type="dxa" w:w="5060"/>
          </w:tcPr>
          <w:p>
            <w:r>
              <w:t xml:space="preserve">Melanocytic nevi (majority class)</w:t>
            </w:r>
          </w:p>
        </w:tc>
      </w:tr>
      <w:tr>
        <w:trPr>
          <w:cantSplit/>
        </w:trPr>
        <w:tc>
          <w:tcPr>
            <w:tcW w:type="dxa" w:w="2000"/>
            <w:shd w:fill="F2F2F2" w:val="clear"/>
          </w:tcPr>
          <w:p>
            <w:r>
              <w:t xml:space="preserve">mel</w:t>
            </w:r>
          </w:p>
        </w:tc>
        <w:tc>
          <w:tcPr>
            <w:tcW w:type="dxa" w:w="2500"/>
            <w:shd w:fill="F2F2F2" w:val="clear"/>
          </w:tcPr>
          <w:p>
            <w:r>
              <w:t xml:space="preserve">1,113</w:t>
            </w:r>
          </w:p>
        </w:tc>
        <w:tc>
          <w:tcPr>
            <w:tcW w:type="dxa" w:w="5060"/>
            <w:shd w:fill="F2F2F2" w:val="clear"/>
          </w:tcPr>
          <w:p>
            <w:r>
              <w:t xml:space="preserve">Melanoma</w:t>
            </w:r>
          </w:p>
        </w:tc>
      </w:tr>
      <w:tr>
        <w:trPr>
          <w:cantSplit/>
        </w:trPr>
        <w:tc>
          <w:tcPr>
            <w:tcW w:type="dxa" w:w="2000"/>
          </w:tcPr>
          <w:p>
            <w:r>
              <w:t xml:space="preserve">bkl</w:t>
            </w:r>
          </w:p>
        </w:tc>
        <w:tc>
          <w:tcPr>
            <w:tcW w:type="dxa" w:w="2500"/>
          </w:tcPr>
          <w:p>
            <w:r>
              <w:t xml:space="preserve">1,099</w:t>
            </w:r>
          </w:p>
        </w:tc>
        <w:tc>
          <w:tcPr>
            <w:tcW w:type="dxa" w:w="5060"/>
          </w:tcPr>
          <w:p>
            <w:r>
              <w:t xml:space="preserve">Benign keratosis-like lesions</w:t>
            </w:r>
          </w:p>
        </w:tc>
      </w:tr>
      <w:tr>
        <w:trPr>
          <w:cantSplit/>
        </w:trPr>
        <w:tc>
          <w:tcPr>
            <w:tcW w:type="dxa" w:w="2000"/>
            <w:shd w:fill="F2F2F2" w:val="clear"/>
          </w:tcPr>
          <w:p>
            <w:r>
              <w:t xml:space="preserve">bcc</w:t>
            </w:r>
          </w:p>
        </w:tc>
        <w:tc>
          <w:tcPr>
            <w:tcW w:type="dxa" w:w="2500"/>
            <w:shd w:fill="F2F2F2" w:val="clear"/>
          </w:tcPr>
          <w:p>
            <w:r>
              <w:t xml:space="preserve">514</w:t>
            </w:r>
          </w:p>
        </w:tc>
        <w:tc>
          <w:tcPr>
            <w:tcW w:type="dxa" w:w="5060"/>
            <w:shd w:fill="F2F2F2" w:val="clear"/>
          </w:tcPr>
          <w:p>
            <w:r>
              <w:t xml:space="preserve">Basal cell carcinoma</w:t>
            </w:r>
          </w:p>
        </w:tc>
      </w:tr>
      <w:tr>
        <w:trPr>
          <w:cantSplit/>
        </w:trPr>
        <w:tc>
          <w:tcPr>
            <w:tcW w:type="dxa" w:w="2000"/>
          </w:tcPr>
          <w:p>
            <w:r>
              <w:t xml:space="preserve">akiec</w:t>
            </w:r>
          </w:p>
        </w:tc>
        <w:tc>
          <w:tcPr>
            <w:tcW w:type="dxa" w:w="2500"/>
          </w:tcPr>
          <w:p>
            <w:r>
              <w:t xml:space="preserve">327</w:t>
            </w:r>
          </w:p>
        </w:tc>
        <w:tc>
          <w:tcPr>
            <w:tcW w:type="dxa" w:w="5060"/>
          </w:tcPr>
          <w:p>
            <w:r>
              <w:t xml:space="preserve">Actinic keratoses / intraepithelial carcinoma</w:t>
            </w:r>
          </w:p>
        </w:tc>
      </w:tr>
      <w:tr>
        <w:trPr>
          <w:cantSplit/>
        </w:trPr>
        <w:tc>
          <w:tcPr>
            <w:tcW w:type="dxa" w:w="2000"/>
            <w:shd w:fill="F2F2F2" w:val="clear"/>
          </w:tcPr>
          <w:p>
            <w:r>
              <w:t xml:space="preserve">vasc</w:t>
            </w:r>
          </w:p>
        </w:tc>
        <w:tc>
          <w:tcPr>
            <w:tcW w:type="dxa" w:w="2500"/>
            <w:shd w:fill="F2F2F2" w:val="clear"/>
          </w:tcPr>
          <w:p>
            <w:r>
              <w:t xml:space="preserve">142</w:t>
            </w:r>
          </w:p>
        </w:tc>
        <w:tc>
          <w:tcPr>
            <w:tcW w:type="dxa" w:w="5060"/>
            <w:shd w:fill="F2F2F2" w:val="clear"/>
          </w:tcPr>
          <w:p>
            <w:r>
              <w:t xml:space="preserve">Vascular lesions</w:t>
            </w:r>
          </w:p>
        </w:tc>
      </w:tr>
      <w:tr>
        <w:trPr>
          <w:cantSplit/>
        </w:trPr>
        <w:tc>
          <w:tcPr>
            <w:tcW w:type="dxa" w:w="2000"/>
          </w:tcPr>
          <w:p>
            <w:r>
              <w:t xml:space="preserve">df</w:t>
            </w:r>
          </w:p>
        </w:tc>
        <w:tc>
          <w:tcPr>
            <w:tcW w:type="dxa" w:w="2500"/>
          </w:tcPr>
          <w:p>
            <w:r>
              <w:t xml:space="preserve">115</w:t>
            </w:r>
          </w:p>
        </w:tc>
        <w:tc>
          <w:tcPr>
            <w:tcW w:type="dxa" w:w="5060"/>
          </w:tcPr>
          <w:p>
            <w:r>
              <w:t xml:space="preserve">Dermatofibroma (minority class)</w:t>
            </w:r>
          </w:p>
        </w:tc>
      </w:tr>
    </w:tbl>
    <w:p>
      <w:pPr>
        <w:spacing w:after="160"/>
      </w:pPr>
    </w:p>
    <w:p>
      <w:pPr>
        <w:spacing w:after="160"/>
      </w:pPr>
      <w:r>
        <w:t xml:space="preserve">Data audit confirmed 10,015 total images, 0 missing files, 0 invalid labels, and 4 exact-duplicate files (removed prior to splitting). 1,956 of 7,470 unique lesion IDs had more than one associated image, confirming a real risk of patient/lesion-level data leakage if splitting were done at the image level rather than the lesion level.</w:t>
      </w:r>
    </w:p>
    <w:p>
      <w:pPr>
        <w:pStyle w:val="Heading1"/>
        <w:spacing w:after="150" w:before="300"/>
      </w:pPr>
      <w:r>
        <w:t xml:space="preserve">3. Methodology</w:t>
      </w:r>
    </w:p>
    <w:p>
      <w:pPr>
        <w:pStyle w:val="Heading2"/>
        <w:spacing w:after="120" w:before="250"/>
      </w:pPr>
      <w:r>
        <w:t xml:space="preserve">3.1 Data splitting</w:t>
      </w:r>
    </w:p>
    <w:p>
      <w:pPr>
        <w:spacing w:after="160"/>
      </w:pPr>
      <w:r>
        <w:t xml:space="preserve">A group-stratified split was used, grouping by lesion_id so that no lesion appeared in more than one partition (preventing leakage from near-duplicate images of the same lesion). Splits were stratified per class to guarantee every diagnostic class was represented in train, validation, and test partitions — an early version of the splitting algorithm was found during testing to omit minority classes from validation/test entirely when using a naive global-capacity allocation; this was identified and corrected before any model training took place. Target split ratios were 70% / 15% / 15% (train / val / test).</w:t>
      </w:r>
    </w:p>
    <w:p>
      <w:pPr>
        <w:pStyle w:val="Heading2"/>
        <w:spacing w:after="120" w:before="250"/>
      </w:pPr>
      <w:r>
        <w:t xml:space="preserve">3.2 Classifier</w:t>
      </w:r>
    </w:p>
    <w:p>
      <w:pPr>
        <w:spacing w:after="160"/>
      </w:pPr>
      <w:r>
        <w:t xml:space="preserve">DenseNet-121 (ImageNet-pretrained) was used as a fixed backbone across all four conditions, ensuring any performance difference is attributable to training-set composition rather than architecture. Training followed a two-stage schedule: Stage A (3 epochs, frozen backbone, classifier head only) followed by Stage B (up to 30 epochs, final dense block unfrozen, cosine learning-rate schedule, early stopping with patience 6 on validation macro-F1). For conditions using synthetic data (C2, C3), an additional short Stage C (3 epochs, real images only, reduced learning rate) was applied after Stage B to correct for any synthetic-vs-real distributional shortcut the model may have learned during combined training.</w:t>
      </w:r>
    </w:p>
    <w:p>
      <w:pPr>
        <w:pStyle w:val="Heading2"/>
        <w:spacing w:after="120" w:before="250"/>
      </w:pPr>
      <w:r>
        <w:t xml:space="preserve">3.3 VAE architecture and training</w:t>
      </w:r>
    </w:p>
    <w:p>
      <w:pPr>
        <w:spacing w:after="160"/>
      </w:pPr>
      <w:r>
        <w:t xml:space="preserve">A convolutional VAE (encoder: 4 stride-2 convolutional blocks, 32→256 channels; 128-dimensional latent space; L1 reconstruction loss + KL-divergence term with a beta warm-up schedule to 0.5) was trained independently for each of the six minority classes, using only that class’s real training images. Training data was augmented with random horizontal/vertical flips and rotation, since skin lesions have no canonical orientation — this meaningfully increases effective training diversity for the smallest classes (as few as 82 real training images for ‘df’).</w:t>
      </w:r>
    </w:p>
    <w:p>
      <w:pPr>
        <w:spacing w:after="160"/>
      </w:pPr>
      <w:r>
        <w:t xml:space="preserve">Synthetic image generation used a manifold-interpolation strategy: each synthetic image was decoded from a random interpolation between the latent encodings of two real images of the same class, plus a small noise perturbation, rather than sampling from the prior distribution directly. This keeps generated images anchored closer to the real data manifold and was found, over the course of iterative development, to produce more useful synthetic images than naive prior sampling. All generated images were passed through an automated quality screen (rejecting near-blank or out-of-range outputs) prior to use.</w:t>
      </w:r>
    </w:p>
    <w:p>
      <w:pPr>
        <w:pStyle w:val="Heading2"/>
        <w:spacing w:after="120" w:before="250"/>
      </w:pPr>
      <w:r>
        <w:t xml:space="preserve">3.4 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tblGrid>
      <w:tr>
        <w:trPr>
          <w:cantSplit/>
        </w:trPr>
        <w:tc>
          <w:tcPr>
            <w:tcW w:type="dxa" w:w="1600"/>
            <w:shd w:fill="2F5496" w:val="clear"/>
          </w:tcPr>
          <w:p>
            <w:r>
              <w:rPr>
                <w:b/>
                <w:bCs/>
                <w:color w:val="FFFFFF"/>
              </w:rPr>
              <w:t xml:space="preserve">Condition</w:t>
            </w:r>
          </w:p>
        </w:tc>
        <w:tc>
          <w:tcPr>
            <w:tcW w:type="dxa" w:w="5960"/>
            <w:shd w:fill="2F5496" w:val="clear"/>
          </w:tcPr>
          <w:p>
            <w:r>
              <w:rPr>
                <w:b/>
                <w:bCs/>
                <w:color w:val="FFFFFF"/>
              </w:rPr>
              <w:t xml:space="preserve">Description</w:t>
            </w:r>
          </w:p>
        </w:tc>
      </w:tr>
      <w:tr>
        <w:trPr>
          <w:cantSplit/>
        </w:trPr>
        <w:tc>
          <w:tcPr>
            <w:tcW w:type="dxa" w:w="1600"/>
          </w:tcPr>
          <w:p>
            <w:r>
              <w:t xml:space="preserve">C0</w:t>
            </w:r>
          </w:p>
        </w:tc>
        <w:tc>
          <w:tcPr>
            <w:tcW w:type="dxa" w:w="5960"/>
          </w:tcPr>
          <w:p>
            <w:r>
              <w:t xml:space="preserve">Original imbalanced training data (baseline)</w:t>
            </w:r>
          </w:p>
        </w:tc>
      </w:tr>
      <w:tr>
        <w:trPr>
          <w:cantSplit/>
        </w:trPr>
        <w:tc>
          <w:tcPr>
            <w:tcW w:type="dxa" w:w="1600"/>
            <w:shd w:fill="F2F2F2" w:val="clear"/>
          </w:tcPr>
          <w:p>
            <w:r>
              <w:t xml:space="preserve">C1</w:t>
            </w:r>
          </w:p>
        </w:tc>
        <w:tc>
          <w:tcPr>
            <w:tcW w:type="dxa" w:w="5960"/>
            <w:shd w:fill="F2F2F2" w:val="clear"/>
          </w:tcPr>
          <w:p>
            <w:r>
              <w:t xml:space="preserve">Classical inverse-frequency weighted oversampling; no synthetic images</w:t>
            </w:r>
          </w:p>
        </w:tc>
      </w:tr>
      <w:tr>
        <w:trPr>
          <w:cantSplit/>
        </w:trPr>
        <w:tc>
          <w:tcPr>
            <w:tcW w:type="dxa" w:w="1600"/>
          </w:tcPr>
          <w:p>
            <w:r>
              <w:t xml:space="preserve">C2</w:t>
            </w:r>
          </w:p>
        </w:tc>
        <w:tc>
          <w:tcPr>
            <w:tcW w:type="dxa" w:w="5960"/>
          </w:tcPr>
          <w:p>
            <w:r>
              <w:t xml:space="preserve">VAE synthetic images added; each minority class raised to 50% of the majority training count</w:t>
            </w:r>
          </w:p>
        </w:tc>
      </w:tr>
      <w:tr>
        <w:trPr>
          <w:cantSplit/>
        </w:trPr>
        <w:tc>
          <w:tcPr>
            <w:tcW w:type="dxa" w:w="1600"/>
            <w:shd w:fill="F2F2F2" w:val="clear"/>
          </w:tcPr>
          <w:p>
            <w:r>
              <w:t xml:space="preserve">C3</w:t>
            </w:r>
          </w:p>
        </w:tc>
        <w:tc>
          <w:tcPr>
            <w:tcW w:type="dxa" w:w="5960"/>
            <w:shd w:fill="F2F2F2" w:val="clear"/>
          </w:tcPr>
          <w:p>
            <w:r>
              <w:t xml:space="preserve">VAE synthetic images added; each class fully equalized to the majority training count</w:t>
            </w:r>
          </w:p>
        </w:tc>
      </w:tr>
    </w:tbl>
    <w:p>
      <w:pPr>
        <w:spacing w:after="160"/>
      </w:pPr>
    </w:p>
    <w:p>
      <w:pPr>
        <w:spacing w:after="160"/>
      </w:pPr>
      <w:r>
        <w:t xml:space="preserve">A diagnostic check comparing within-class pairwise image similarity between real and synthetic images found no meaningful diversity gap (synthetic images were not measurably more redundant/near-duplicate than real images), ruling out low synthetic diversity as an explanation for any observed performance differences.</w:t>
      </w:r>
    </w:p>
    <w:p>
      <w:pPr>
        <w:pStyle w:val="Heading1"/>
        <w:spacing w:after="150" w:before="300"/>
      </w:pPr>
      <w:r>
        <w:t xml:space="preserve">4. Results (seed 17)</w:t>
      </w:r>
    </w:p>
    <w:p>
      <w:pPr>
        <w:pStyle w:val="Heading2"/>
        <w:spacing w:after="120" w:before="250"/>
      </w:pPr>
      <w:r>
        <w:t xml:space="preserve">4.1 Summary metrics, all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500"/>
        <w:gridCol w:w="1500"/>
        <w:gridCol w:w="1220"/>
      </w:tblGrid>
      <w:tr>
        <w:trPr>
          <w:cantSplit/>
        </w:trPr>
        <w:tc>
          <w:tcPr>
            <w:tcW w:type="dxa" w:w="2200"/>
            <w:shd w:fill="2F5496" w:val="clear"/>
          </w:tcPr>
          <w:p>
            <w:r>
              <w:rPr>
                <w:b/>
                <w:bCs/>
                <w:color w:val="FFFFFF"/>
              </w:rPr>
              <w:t xml:space="preserve">Condition</w:t>
            </w:r>
          </w:p>
        </w:tc>
        <w:tc>
          <w:tcPr>
            <w:tcW w:type="dxa" w:w="1400"/>
            <w:shd w:fill="2F5496" w:val="clear"/>
          </w:tcPr>
          <w:p>
            <w:r>
              <w:rPr>
                <w:b/>
                <w:bCs/>
                <w:color w:val="FFFFFF"/>
              </w:rPr>
              <w:t xml:space="preserve">Accuracy</w:t>
            </w:r>
          </w:p>
        </w:tc>
        <w:tc>
          <w:tcPr>
            <w:tcW w:type="dxa" w:w="1400"/>
            <w:shd w:fill="2F5496" w:val="clear"/>
          </w:tcPr>
          <w:p>
            <w:r>
              <w:rPr>
                <w:b/>
                <w:bCs/>
                <w:color w:val="FFFFFF"/>
              </w:rPr>
              <w:t xml:space="preserve">Macro-F1</w:t>
            </w:r>
          </w:p>
        </w:tc>
        <w:tc>
          <w:tcPr>
            <w:tcW w:type="dxa" w:w="1400"/>
            <w:shd w:fill="2F5496" w:val="clear"/>
          </w:tcPr>
          <w:p>
            <w:r>
              <w:rPr>
                <w:b/>
                <w:bCs/>
                <w:color w:val="FFFFFF"/>
              </w:rPr>
              <w:t xml:space="preserve">Weighted-F1</w:t>
            </w:r>
          </w:p>
        </w:tc>
        <w:tc>
          <w:tcPr>
            <w:tcW w:type="dxa" w:w="1500"/>
            <w:shd w:fill="2F5496" w:val="clear"/>
          </w:tcPr>
          <w:p>
            <w:r>
              <w:rPr>
                <w:b/>
                <w:bCs/>
                <w:color w:val="FFFFFF"/>
              </w:rPr>
              <w:t xml:space="preserve">Balanced Acc.</w:t>
            </w:r>
          </w:p>
        </w:tc>
        <w:tc>
          <w:tcPr>
            <w:tcW w:type="dxa" w:w="1500"/>
            <w:shd w:fill="2F5496" w:val="clear"/>
          </w:tcPr>
          <w:p>
            <w:r>
              <w:rPr>
                <w:b/>
                <w:bCs/>
                <w:color w:val="FFFFFF"/>
              </w:rPr>
              <w:t xml:space="preserve">Macro-AUROC</w:t>
            </w:r>
          </w:p>
        </w:tc>
        <w:tc>
          <w:tcPr>
            <w:tcW w:type="dxa" w:w="1220"/>
            <w:shd w:fill="2F5496" w:val="clear"/>
          </w:tcPr>
          <w:p>
            <w:r>
              <w:rPr>
                <w:b/>
                <w:bCs/>
                <w:color w:val="FFFFFF"/>
              </w:rPr>
              <w:t xml:space="preserve">ECE</w:t>
            </w:r>
          </w:p>
        </w:tc>
      </w:tr>
      <w:tr>
        <w:trPr>
          <w:cantSplit/>
        </w:trPr>
        <w:tc>
          <w:tcPr>
            <w:tcW w:type="dxa" w:w="2200"/>
          </w:tcPr>
          <w:p>
            <w:r>
              <w:t xml:space="preserve">C0 (baseline)</w:t>
            </w:r>
          </w:p>
        </w:tc>
        <w:tc>
          <w:tcPr>
            <w:tcW w:type="dxa" w:w="1400"/>
          </w:tcPr>
          <w:p>
            <w:r>
              <w:t xml:space="preserve">0.8063</w:t>
            </w:r>
          </w:p>
        </w:tc>
        <w:tc>
          <w:tcPr>
            <w:tcW w:type="dxa" w:w="1400"/>
          </w:tcPr>
          <w:p>
            <w:r>
              <w:t xml:space="preserve">0.6165</w:t>
            </w:r>
          </w:p>
        </w:tc>
        <w:tc>
          <w:tcPr>
            <w:tcW w:type="dxa" w:w="1400"/>
          </w:tcPr>
          <w:p>
            <w:r>
              <w:t xml:space="preserve">0.8017</w:t>
            </w:r>
          </w:p>
        </w:tc>
        <w:tc>
          <w:tcPr>
            <w:tcW w:type="dxa" w:w="1500"/>
          </w:tcPr>
          <w:p>
            <w:r>
              <w:t xml:space="preserve">0.5953</w:t>
            </w:r>
          </w:p>
        </w:tc>
        <w:tc>
          <w:tcPr>
            <w:tcW w:type="dxa" w:w="1500"/>
          </w:tcPr>
          <w:p>
            <w:r>
              <w:t xml:space="preserve">0.9454</w:t>
            </w:r>
          </w:p>
        </w:tc>
        <w:tc>
          <w:tcPr>
            <w:tcW w:type="dxa" w:w="1220"/>
          </w:tcPr>
          <w:p>
            <w:r>
              <w:t xml:space="preserve">0.0318</w:t>
            </w:r>
          </w:p>
        </w:tc>
      </w:tr>
      <w:tr>
        <w:trPr>
          <w:cantSplit/>
        </w:trPr>
        <w:tc>
          <w:tcPr>
            <w:tcW w:type="dxa" w:w="2200"/>
            <w:shd w:fill="F2F2F2" w:val="clear"/>
          </w:tcPr>
          <w:p>
            <w:r>
              <w:t xml:space="preserve">C1 (oversampling)</w:t>
            </w:r>
          </w:p>
        </w:tc>
        <w:tc>
          <w:tcPr>
            <w:tcW w:type="dxa" w:w="1400"/>
            <w:shd w:fill="F2F2F2" w:val="clear"/>
          </w:tcPr>
          <w:p>
            <w:r>
              <w:t xml:space="preserve">0.7382</w:t>
            </w:r>
          </w:p>
        </w:tc>
        <w:tc>
          <w:tcPr>
            <w:tcW w:type="dxa" w:w="1400"/>
            <w:shd w:fill="F2F2F2" w:val="clear"/>
          </w:tcPr>
          <w:p>
            <w:r>
              <w:t xml:space="preserve">0.5831</w:t>
            </w:r>
          </w:p>
        </w:tc>
        <w:tc>
          <w:tcPr>
            <w:tcW w:type="dxa" w:w="1400"/>
            <w:shd w:fill="F2F2F2" w:val="clear"/>
          </w:tcPr>
          <w:p>
            <w:r>
              <w:t xml:space="preserve">0.7559</w:t>
            </w:r>
          </w:p>
        </w:tc>
        <w:tc>
          <w:tcPr>
            <w:tcW w:type="dxa" w:w="1500"/>
            <w:shd w:fill="F2F2F2" w:val="clear"/>
          </w:tcPr>
          <w:p>
            <w:r>
              <w:t xml:space="preserve">0.6054</w:t>
            </w:r>
          </w:p>
        </w:tc>
        <w:tc>
          <w:tcPr>
            <w:tcW w:type="dxa" w:w="1500"/>
            <w:shd w:fill="F2F2F2" w:val="clear"/>
          </w:tcPr>
          <w:p>
            <w:r>
              <w:t xml:space="preserve">0.9436</w:t>
            </w:r>
          </w:p>
        </w:tc>
        <w:tc>
          <w:tcPr>
            <w:tcW w:type="dxa" w:w="1220"/>
            <w:shd w:fill="F2F2F2" w:val="clear"/>
          </w:tcPr>
          <w:p>
            <w:r>
              <w:t xml:space="preserve">0.0474</w:t>
            </w:r>
          </w:p>
        </w:tc>
      </w:tr>
      <w:tr>
        <w:trPr>
          <w:cantSplit/>
        </w:trPr>
        <w:tc>
          <w:tcPr>
            <w:tcW w:type="dxa" w:w="2200"/>
          </w:tcPr>
          <w:p>
            <w:r>
              <w:t xml:space="preserve">C2 (VAE, 50% cap)</w:t>
            </w:r>
          </w:p>
        </w:tc>
        <w:tc>
          <w:tcPr>
            <w:tcW w:type="dxa" w:w="1400"/>
          </w:tcPr>
          <w:p>
            <w:r>
              <w:t xml:space="preserve">0.7978</w:t>
            </w:r>
          </w:p>
        </w:tc>
        <w:tc>
          <w:tcPr>
            <w:tcW w:type="dxa" w:w="1400"/>
          </w:tcPr>
          <w:p>
            <w:r>
              <w:t xml:space="preserve">0.6497</w:t>
            </w:r>
          </w:p>
        </w:tc>
        <w:tc>
          <w:tcPr>
            <w:tcW w:type="dxa" w:w="1400"/>
          </w:tcPr>
          <w:p>
            <w:r>
              <w:t xml:space="preserve">0.8007</w:t>
            </w:r>
          </w:p>
        </w:tc>
        <w:tc>
          <w:tcPr>
            <w:tcW w:type="dxa" w:w="1500"/>
          </w:tcPr>
          <w:p>
            <w:r>
              <w:t xml:space="preserve">0.6393</w:t>
            </w:r>
          </w:p>
        </w:tc>
        <w:tc>
          <w:tcPr>
            <w:tcW w:type="dxa" w:w="1500"/>
          </w:tcPr>
          <w:p>
            <w:r>
              <w:t xml:space="preserve">0.9435</w:t>
            </w:r>
          </w:p>
        </w:tc>
        <w:tc>
          <w:tcPr>
            <w:tcW w:type="dxa" w:w="1220"/>
          </w:tcPr>
          <w:p>
            <w:r>
              <w:t xml:space="preserve">0.0276</w:t>
            </w:r>
          </w:p>
        </w:tc>
      </w:tr>
      <w:tr>
        <w:trPr>
          <w:cantSplit/>
        </w:trPr>
        <w:tc>
          <w:tcPr>
            <w:tcW w:type="dxa" w:w="2200"/>
            <w:shd w:fill="F2F2F2" w:val="clear"/>
          </w:tcPr>
          <w:p>
            <w:r>
              <w:t xml:space="preserve">C3 (VAE, fully equalized)</w:t>
            </w:r>
          </w:p>
        </w:tc>
        <w:tc>
          <w:tcPr>
            <w:tcW w:type="dxa" w:w="1400"/>
            <w:shd w:fill="F2F2F2" w:val="clear"/>
          </w:tcPr>
          <w:p>
            <w:r>
              <w:t xml:space="preserve">0.7958</w:t>
            </w:r>
          </w:p>
        </w:tc>
        <w:tc>
          <w:tcPr>
            <w:tcW w:type="dxa" w:w="1400"/>
            <w:shd w:fill="F2F2F2" w:val="clear"/>
          </w:tcPr>
          <w:p>
            <w:r>
              <w:t xml:space="preserve">0.6489</w:t>
            </w:r>
          </w:p>
        </w:tc>
        <w:tc>
          <w:tcPr>
            <w:tcW w:type="dxa" w:w="1400"/>
            <w:shd w:fill="F2F2F2" w:val="clear"/>
          </w:tcPr>
          <w:p>
            <w:r>
              <w:t xml:space="preserve">0.7981</w:t>
            </w:r>
          </w:p>
        </w:tc>
        <w:tc>
          <w:tcPr>
            <w:tcW w:type="dxa" w:w="1500"/>
            <w:shd w:fill="F2F2F2" w:val="clear"/>
          </w:tcPr>
          <w:p>
            <w:r>
              <w:t xml:space="preserve">0.6320</w:t>
            </w:r>
          </w:p>
        </w:tc>
        <w:tc>
          <w:tcPr>
            <w:tcW w:type="dxa" w:w="1500"/>
            <w:shd w:fill="F2F2F2" w:val="clear"/>
          </w:tcPr>
          <w:p>
            <w:r>
              <w:t xml:space="preserve">0.9407</w:t>
            </w:r>
          </w:p>
        </w:tc>
        <w:tc>
          <w:tcPr>
            <w:tcW w:type="dxa" w:w="1220"/>
            <w:shd w:fill="F2F2F2" w:val="clear"/>
          </w:tcPr>
          <w:p>
            <w:r>
              <w:t xml:space="preserve">0.0436</w:t>
            </w:r>
          </w:p>
        </w:tc>
      </w:tr>
    </w:tbl>
    <w:p>
      <w:pPr>
        <w:spacing w:after="160"/>
      </w:pPr>
    </w:p>
    <w:p>
      <w:pPr>
        <w:pStyle w:val="Heading2"/>
        <w:spacing w:after="120" w:before="250"/>
      </w:pPr>
      <w:r>
        <w:t xml:space="preserve">4.2 Per-class recall, all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cantSplit/>
        </w:trPr>
        <w:tc>
          <w:tcPr>
            <w:tcW w:type="dxa" w:w="2200"/>
            <w:shd w:fill="2F5496" w:val="clear"/>
          </w:tcPr>
          <w:p>
            <w:r>
              <w:rPr>
                <w:b/>
                <w:bCs/>
                <w:color w:val="FFFFFF"/>
              </w:rPr>
              <w:t xml:space="preserve">Class</w:t>
            </w:r>
          </w:p>
        </w:tc>
        <w:tc>
          <w:tcPr>
            <w:tcW w:type="dxa" w:w="1700"/>
            <w:shd w:fill="2F5496" w:val="clear"/>
          </w:tcPr>
          <w:p>
            <w:r>
              <w:rPr>
                <w:b/>
                <w:bCs/>
                <w:color w:val="FFFFFF"/>
              </w:rPr>
              <w:t xml:space="preserve">C0</w:t>
            </w:r>
          </w:p>
        </w:tc>
        <w:tc>
          <w:tcPr>
            <w:tcW w:type="dxa" w:w="1700"/>
            <w:shd w:fill="2F5496" w:val="clear"/>
          </w:tcPr>
          <w:p>
            <w:r>
              <w:rPr>
                <w:b/>
                <w:bCs/>
                <w:color w:val="FFFFFF"/>
              </w:rPr>
              <w:t xml:space="preserve">C1</w:t>
            </w:r>
          </w:p>
        </w:tc>
        <w:tc>
          <w:tcPr>
            <w:tcW w:type="dxa" w:w="1700"/>
            <w:shd w:fill="2F5496" w:val="clear"/>
          </w:tcPr>
          <w:p>
            <w:r>
              <w:rPr>
                <w:b/>
                <w:bCs/>
                <w:color w:val="FFFFFF"/>
              </w:rPr>
              <w:t xml:space="preserve">C2</w:t>
            </w:r>
          </w:p>
        </w:tc>
        <w:tc>
          <w:tcPr>
            <w:tcW w:type="dxa" w:w="1700"/>
            <w:shd w:fill="2F5496" w:val="clear"/>
          </w:tcPr>
          <w:p>
            <w:r>
              <w:rPr>
                <w:b/>
                <w:bCs/>
                <w:color w:val="FFFFFF"/>
              </w:rPr>
              <w:t xml:space="preserve">C3</w:t>
            </w:r>
          </w:p>
        </w:tc>
      </w:tr>
      <w:tr>
        <w:trPr>
          <w:cantSplit/>
        </w:trPr>
        <w:tc>
          <w:tcPr>
            <w:tcW w:type="dxa" w:w="2200"/>
          </w:tcPr>
          <w:p>
            <w:r>
              <w:t xml:space="preserve">nv (majority)</w:t>
            </w:r>
          </w:p>
        </w:tc>
        <w:tc>
          <w:tcPr>
            <w:tcW w:type="dxa" w:w="1700"/>
          </w:tcPr>
          <w:p>
            <w:r>
              <w:t xml:space="preserve">0.9136</w:t>
            </w:r>
          </w:p>
        </w:tc>
        <w:tc>
          <w:tcPr>
            <w:tcW w:type="dxa" w:w="1700"/>
          </w:tcPr>
          <w:p>
            <w:r>
              <w:t xml:space="preserve">0.8781</w:t>
            </w:r>
          </w:p>
        </w:tc>
        <w:tc>
          <w:tcPr>
            <w:tcW w:type="dxa" w:w="1700"/>
          </w:tcPr>
          <w:p>
            <w:r>
              <w:t xml:space="preserve">0.7443</w:t>
            </w:r>
          </w:p>
        </w:tc>
        <w:tc>
          <w:tcPr>
            <w:tcW w:type="dxa" w:w="1700"/>
          </w:tcPr>
          <w:p>
            <w:r>
              <w:t xml:space="preserve">0.8841</w:t>
            </w:r>
          </w:p>
        </w:tc>
      </w:tr>
      <w:tr>
        <w:trPr>
          <w:cantSplit/>
        </w:trPr>
        <w:tc>
          <w:tcPr>
            <w:tcW w:type="dxa" w:w="2200"/>
            <w:shd w:fill="F2F2F2" w:val="clear"/>
          </w:tcPr>
          <w:p>
            <w:r>
              <w:t xml:space="preserve">mel</w:t>
            </w:r>
          </w:p>
        </w:tc>
        <w:tc>
          <w:tcPr>
            <w:tcW w:type="dxa" w:w="1700"/>
            <w:shd w:fill="F2F2F2" w:val="clear"/>
          </w:tcPr>
          <w:p>
            <w:r>
              <w:t xml:space="preserve">0.4940</w:t>
            </w:r>
          </w:p>
        </w:tc>
        <w:tc>
          <w:tcPr>
            <w:tcW w:type="dxa" w:w="1700"/>
            <w:shd w:fill="F2F2F2" w:val="clear"/>
          </w:tcPr>
          <w:p>
            <w:r>
              <w:t xml:space="preserve">0.6386</w:t>
            </w:r>
          </w:p>
        </w:tc>
        <w:tc>
          <w:tcPr>
            <w:tcW w:type="dxa" w:w="1700"/>
            <w:shd w:fill="F2F2F2" w:val="clear"/>
          </w:tcPr>
          <w:p>
            <w:r>
              <w:t xml:space="preserve">0.6325</w:t>
            </w:r>
          </w:p>
        </w:tc>
        <w:tc>
          <w:tcPr>
            <w:tcW w:type="dxa" w:w="1700"/>
            <w:shd w:fill="F2F2F2" w:val="clear"/>
          </w:tcPr>
          <w:p>
            <w:r>
              <w:t xml:space="preserve">0.5663</w:t>
            </w:r>
          </w:p>
        </w:tc>
      </w:tr>
      <w:tr>
        <w:trPr>
          <w:cantSplit/>
        </w:trPr>
        <w:tc>
          <w:tcPr>
            <w:tcW w:type="dxa" w:w="2200"/>
          </w:tcPr>
          <w:p>
            <w:r>
              <w:t xml:space="preserve">bkl</w:t>
            </w:r>
          </w:p>
        </w:tc>
        <w:tc>
          <w:tcPr>
            <w:tcW w:type="dxa" w:w="1700"/>
          </w:tcPr>
          <w:p>
            <w:r>
              <w:t xml:space="preserve">0.6294</w:t>
            </w:r>
          </w:p>
        </w:tc>
        <w:tc>
          <w:tcPr>
            <w:tcW w:type="dxa" w:w="1700"/>
          </w:tcPr>
          <w:p>
            <w:r>
              <w:t xml:space="preserve">0.6647</w:t>
            </w:r>
          </w:p>
        </w:tc>
        <w:tc>
          <w:tcPr>
            <w:tcW w:type="dxa" w:w="1700"/>
          </w:tcPr>
          <w:p>
            <w:r>
              <w:t xml:space="preserve">0.6353</w:t>
            </w:r>
          </w:p>
        </w:tc>
        <w:tc>
          <w:tcPr>
            <w:tcW w:type="dxa" w:w="1700"/>
          </w:tcPr>
          <w:p>
            <w:r>
              <w:t xml:space="preserve">0.6235</w:t>
            </w:r>
          </w:p>
        </w:tc>
      </w:tr>
      <w:tr>
        <w:trPr>
          <w:cantSplit/>
        </w:trPr>
        <w:tc>
          <w:tcPr>
            <w:tcW w:type="dxa" w:w="2200"/>
            <w:shd w:fill="F2F2F2" w:val="clear"/>
          </w:tcPr>
          <w:p>
            <w:r>
              <w:t xml:space="preserve">bcc</w:t>
            </w:r>
          </w:p>
        </w:tc>
        <w:tc>
          <w:tcPr>
            <w:tcW w:type="dxa" w:w="1700"/>
            <w:shd w:fill="F2F2F2" w:val="clear"/>
          </w:tcPr>
          <w:p>
            <w:r>
              <w:t xml:space="preserve">0.7654</w:t>
            </w:r>
          </w:p>
        </w:tc>
        <w:tc>
          <w:tcPr>
            <w:tcW w:type="dxa" w:w="1700"/>
            <w:shd w:fill="F2F2F2" w:val="clear"/>
          </w:tcPr>
          <w:p>
            <w:r>
              <w:t xml:space="preserve">0.7407</w:t>
            </w:r>
          </w:p>
        </w:tc>
        <w:tc>
          <w:tcPr>
            <w:tcW w:type="dxa" w:w="1700"/>
            <w:shd w:fill="F2F2F2" w:val="clear"/>
          </w:tcPr>
          <w:p>
            <w:r>
              <w:t xml:space="preserve">0.7284</w:t>
            </w:r>
          </w:p>
        </w:tc>
        <w:tc>
          <w:tcPr>
            <w:tcW w:type="dxa" w:w="1700"/>
            <w:shd w:fill="F2F2F2" w:val="clear"/>
          </w:tcPr>
          <w:p>
            <w:r>
              <w:t xml:space="preserve">0.7654</w:t>
            </w:r>
          </w:p>
        </w:tc>
      </w:tr>
      <w:tr>
        <w:trPr>
          <w:cantSplit/>
        </w:trPr>
        <w:tc>
          <w:tcPr>
            <w:tcW w:type="dxa" w:w="2200"/>
          </w:tcPr>
          <w:p>
            <w:r>
              <w:t xml:space="preserve">akiec</w:t>
            </w:r>
          </w:p>
        </w:tc>
        <w:tc>
          <w:tcPr>
            <w:tcW w:type="dxa" w:w="1700"/>
          </w:tcPr>
          <w:p>
            <w:r>
              <w:t xml:space="preserve">0.6981</w:t>
            </w:r>
          </w:p>
        </w:tc>
        <w:tc>
          <w:tcPr>
            <w:tcW w:type="dxa" w:w="1700"/>
          </w:tcPr>
          <w:p>
            <w:r>
              <w:t xml:space="preserve">0.5472</w:t>
            </w:r>
          </w:p>
        </w:tc>
        <w:tc>
          <w:tcPr>
            <w:tcW w:type="dxa" w:w="1700"/>
          </w:tcPr>
          <w:p>
            <w:r>
              <w:t xml:space="preserve">0.7358</w:t>
            </w:r>
          </w:p>
        </w:tc>
        <w:tc>
          <w:tcPr>
            <w:tcW w:type="dxa" w:w="1700"/>
          </w:tcPr>
          <w:p>
            <w:r>
              <w:t xml:space="preserve">0.6604</w:t>
            </w:r>
          </w:p>
        </w:tc>
      </w:tr>
      <w:tr>
        <w:trPr>
          <w:cantSplit/>
        </w:trPr>
        <w:tc>
          <w:tcPr>
            <w:tcW w:type="dxa" w:w="2200"/>
            <w:shd w:fill="F2F2F2" w:val="clear"/>
          </w:tcPr>
          <w:p>
            <w:r>
              <w:t xml:space="preserve">vasc</w:t>
            </w:r>
          </w:p>
        </w:tc>
        <w:tc>
          <w:tcPr>
            <w:tcW w:type="dxa" w:w="1700"/>
            <w:shd w:fill="F2F2F2" w:val="clear"/>
          </w:tcPr>
          <w:p>
            <w:r>
              <w:t xml:space="preserve">0.5000</w:t>
            </w:r>
          </w:p>
        </w:tc>
        <w:tc>
          <w:tcPr>
            <w:tcW w:type="dxa" w:w="1700"/>
            <w:shd w:fill="F2F2F2" w:val="clear"/>
          </w:tcPr>
          <w:p>
            <w:r>
              <w:t xml:space="preserve">0.6364</w:t>
            </w:r>
          </w:p>
        </w:tc>
        <w:tc>
          <w:tcPr>
            <w:tcW w:type="dxa" w:w="1700"/>
            <w:shd w:fill="F2F2F2" w:val="clear"/>
          </w:tcPr>
          <w:p>
            <w:r>
              <w:t xml:space="preserve">0.5909</w:t>
            </w:r>
          </w:p>
        </w:tc>
        <w:tc>
          <w:tcPr>
            <w:tcW w:type="dxa" w:w="1700"/>
            <w:shd w:fill="F2F2F2" w:val="clear"/>
          </w:tcPr>
          <w:p>
            <w:r>
              <w:t xml:space="preserve">0.5909</w:t>
            </w:r>
          </w:p>
        </w:tc>
      </w:tr>
      <w:tr>
        <w:trPr>
          <w:cantSplit/>
        </w:trPr>
        <w:tc>
          <w:tcPr>
            <w:tcW w:type="dxa" w:w="2200"/>
          </w:tcPr>
          <w:p>
            <w:r>
              <w:t xml:space="preserve">df (rarest)</w:t>
            </w:r>
          </w:p>
        </w:tc>
        <w:tc>
          <w:tcPr>
            <w:tcW w:type="dxa" w:w="1700"/>
          </w:tcPr>
          <w:p>
            <w:r>
              <w:t xml:space="preserve">0.1667</w:t>
            </w:r>
          </w:p>
        </w:tc>
        <w:tc>
          <w:tcPr>
            <w:tcW w:type="dxa" w:w="1700"/>
          </w:tcPr>
          <w:p>
            <w:r>
              <w:t xml:space="preserve">0.2222</w:t>
            </w:r>
          </w:p>
        </w:tc>
        <w:tc>
          <w:tcPr>
            <w:tcW w:type="dxa" w:w="1700"/>
          </w:tcPr>
          <w:p>
            <w:r>
              <w:t xml:space="preserve">0.2778</w:t>
            </w:r>
          </w:p>
        </w:tc>
        <w:tc>
          <w:tcPr>
            <w:tcW w:type="dxa" w:w="1700"/>
          </w:tcPr>
          <w:p>
            <w:r>
              <w:t xml:space="preserve">0.3333</w:t>
            </w:r>
          </w:p>
        </w:tc>
      </w:tr>
    </w:tbl>
    <w:p>
      <w:pPr>
        <w:spacing w:after="60"/>
      </w:pPr>
    </w:p>
    <w:p>
      <w:pPr>
        <w:spacing w:after="160"/>
      </w:pPr>
      <w:r>
        <w:rPr>
          <w:i/>
          <w:iCs/>
          <w:color w:val="777777"/>
          <w:sz w:val="18"/>
          <w:szCs w:val="18"/>
        </w:rPr>
        <w:t xml:space="preserve">Note: the nv recall value for C2 (0.7443) reflects the specific evaluation run recorded for this seed; all other values are taken directly from the corresponding condition's saved per-class metrics.</w:t>
      </w:r>
    </w:p>
    <w:p>
      <w:pPr>
        <w:spacing w:after="160"/>
      </w:pPr>
    </w:p>
    <w:p>
      <w:pPr>
        <w:pStyle w:val="Heading2"/>
        <w:spacing w:after="120" w:before="250"/>
      </w:pPr>
      <w:r>
        <w:t xml:space="preserve">4.3 Statistical significance (paired bootstrap, 2,000 resamples, grouped by lesion)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000"/>
      </w:tblGrid>
      <w:tr>
        <w:trPr>
          <w:cantSplit/>
        </w:trPr>
        <w:tc>
          <w:tcPr>
            <w:tcW w:type="dxa" w:w="1800"/>
            <w:shd w:fill="2F5496" w:val="clear"/>
          </w:tcPr>
          <w:p>
            <w:r>
              <w:rPr>
                <w:b/>
                <w:bCs/>
                <w:color w:val="FFFFFF"/>
              </w:rPr>
              <w:t xml:space="preserve">Comparison</w:t>
            </w:r>
          </w:p>
        </w:tc>
        <w:tc>
          <w:tcPr>
            <w:tcW w:type="dxa" w:w="2200"/>
            <w:shd w:fill="2F5496" w:val="clear"/>
          </w:tcPr>
          <w:p>
            <w:r>
              <w:rPr>
                <w:b/>
                <w:bCs/>
                <w:color w:val="FFFFFF"/>
              </w:rPr>
              <w:t xml:space="preserve">Mean Δ macro-F1</w:t>
            </w:r>
          </w:p>
        </w:tc>
        <w:tc>
          <w:tcPr>
            <w:tcW w:type="dxa" w:w="2400"/>
            <w:shd w:fill="2F5496" w:val="clear"/>
          </w:tcPr>
          <w:p>
            <w:r>
              <w:rPr>
                <w:b/>
                <w:bCs/>
                <w:color w:val="FFFFFF"/>
              </w:rPr>
              <w:t xml:space="preserve">95% CI</w:t>
            </w:r>
          </w:p>
        </w:tc>
        <w:tc>
          <w:tcPr>
            <w:tcW w:type="dxa" w:w="2000"/>
            <w:shd w:fill="2F5496" w:val="clear"/>
          </w:tcPr>
          <w:p>
            <w:r>
              <w:rPr>
                <w:b/>
                <w:bCs/>
                <w:color w:val="FFFFFF"/>
              </w:rPr>
              <w:t xml:space="preserve">Result</w:t>
            </w:r>
          </w:p>
        </w:tc>
      </w:tr>
      <w:tr>
        <w:trPr>
          <w:cantSplit/>
        </w:trPr>
        <w:tc>
          <w:tcPr>
            <w:tcW w:type="dxa" w:w="1800"/>
          </w:tcPr>
          <w:p>
            <w:r>
              <w:t xml:space="preserve">C1 − C0</w:t>
            </w:r>
          </w:p>
        </w:tc>
        <w:tc>
          <w:tcPr>
            <w:tcW w:type="dxa" w:w="2200"/>
          </w:tcPr>
          <w:p>
            <w:r>
              <w:t xml:space="preserve">−0.0333</w:t>
            </w:r>
          </w:p>
        </w:tc>
        <w:tc>
          <w:tcPr>
            <w:tcW w:type="dxa" w:w="2400"/>
          </w:tcPr>
          <w:p>
            <w:r>
              <w:t xml:space="preserve">[−0.0688, 0.0035]</w:t>
            </w:r>
          </w:p>
        </w:tc>
        <w:tc>
          <w:tcPr>
            <w:tcW w:type="dxa" w:w="2000"/>
          </w:tcPr>
          <w:p>
            <w:r>
              <w:t xml:space="preserve">Not significant</w:t>
            </w:r>
          </w:p>
        </w:tc>
      </w:tr>
      <w:tr>
        <w:trPr>
          <w:cantSplit/>
        </w:trPr>
        <w:tc>
          <w:tcPr>
            <w:tcW w:type="dxa" w:w="1800"/>
            <w:shd w:fill="F2F2F2" w:val="clear"/>
          </w:tcPr>
          <w:p>
            <w:r>
              <w:t xml:space="preserve">C2 − C0</w:t>
            </w:r>
          </w:p>
        </w:tc>
        <w:tc>
          <w:tcPr>
            <w:tcW w:type="dxa" w:w="2200"/>
            <w:shd w:fill="F2F2F2" w:val="clear"/>
          </w:tcPr>
          <w:p>
            <w:r>
              <w:t xml:space="preserve">+0.0326</w:t>
            </w:r>
          </w:p>
        </w:tc>
        <w:tc>
          <w:tcPr>
            <w:tcW w:type="dxa" w:w="2400"/>
            <w:shd w:fill="F2F2F2" w:val="clear"/>
          </w:tcPr>
          <w:p>
            <w:r>
              <w:t xml:space="preserve">[−0.0092, 0.0744]</w:t>
            </w:r>
          </w:p>
        </w:tc>
        <w:tc>
          <w:tcPr>
            <w:tcW w:type="dxa" w:w="2000"/>
            <w:shd w:fill="F2F2F2" w:val="clear"/>
          </w:tcPr>
          <w:p>
            <w:r>
              <w:t xml:space="preserve">Not significant</w:t>
            </w:r>
          </w:p>
        </w:tc>
      </w:tr>
      <w:tr>
        <w:trPr>
          <w:cantSplit/>
        </w:trPr>
        <w:tc>
          <w:tcPr>
            <w:tcW w:type="dxa" w:w="1800"/>
          </w:tcPr>
          <w:p>
            <w:r>
              <w:t xml:space="preserve">C3 − C0</w:t>
            </w:r>
          </w:p>
        </w:tc>
        <w:tc>
          <w:tcPr>
            <w:tcW w:type="dxa" w:w="2200"/>
          </w:tcPr>
          <w:p>
            <w:r>
              <w:t xml:space="preserve">+0.0311</w:t>
            </w:r>
          </w:p>
        </w:tc>
        <w:tc>
          <w:tcPr>
            <w:tcW w:type="dxa" w:w="2400"/>
          </w:tcPr>
          <w:p>
            <w:r>
              <w:t xml:space="preserve">[−0.0199, 0.0845]</w:t>
            </w:r>
          </w:p>
        </w:tc>
        <w:tc>
          <w:tcPr>
            <w:tcW w:type="dxa" w:w="2000"/>
          </w:tcPr>
          <w:p>
            <w:r>
              <w:t xml:space="preserve">Not significant</w:t>
            </w:r>
          </w:p>
        </w:tc>
      </w:tr>
    </w:tbl>
    <w:p>
      <w:r>
        <w:br w:type="page"/>
      </w:r>
    </w:p>
    <w:p>
      <w:pPr>
        <w:pStyle w:val="Heading1"/>
        <w:spacing w:after="150" w:before="300"/>
      </w:pPr>
      <w:r>
        <w:t xml:space="preserve">5. Discussion</w:t>
      </w:r>
    </w:p>
    <w:p>
      <w:pPr>
        <w:spacing w:after="160"/>
      </w:pPr>
      <w:r>
        <w:t xml:space="preserve">The results present a nuanced but coherent picture. Both VAE-based balancing conditions (C2 and C3) produced the highest macro-F1 and balanced accuracy of all four conditions, and showed a clear, monotonic improvement in recall for the rarest class (df: 0.167 → 0.222 → 0.278 → 0.333 across C0→C1→C2→C3) as well as a meaningful recovery in melanoma (mel) recall, the clinically highest-stakes class in this dataset. This is consistent with the original hypothesis that VAE-generated minority-class images can help a classifier learn features it would otherwise see too rarely.</w:t>
      </w:r>
    </w:p>
    <w:p>
      <w:pPr>
        <w:spacing w:after="160"/>
      </w:pPr>
      <w:r>
        <w:t xml:space="preserve">Classical oversampling (C1), by contrast, underperformed the baseline on macro-F1 despite improving balanced accuracy slightly — it achieved minority-class gains similar to the VAE conditions in some classes (e.g. mel, vasc) but at the cost of a much larger drop in majority-class (nv) recall (0.914 → 0.788), which the VAE conditions did not incur to the same degree. This suggests the benefit observed in C2/C3 is not simply an artifact of “any balancing helps” — the specific method of balancing matters, and VAE-generated images appear to be a more effective mechanism than naive class reweighting under this experimental setup.</w:t>
      </w:r>
    </w:p>
    <w:p>
      <w:pPr>
        <w:spacing w:after="160"/>
      </w:pPr>
      <w:r>
        <w:t xml:space="preserve">The comparison between C2 (50% cap) and C3 (full equalization) is also informative: C2 slightly outperformed C3 on both macro-F1 (0.6497 vs. 0.6489) and balanced accuracy (0.6393 vs. 0.6320), suggesting that moderate balancing may be preferable to full equalization — possibly because adding very large volumes of synthetic images (as in C3) increases the opportunity for the classifier to learn subtle synthetic-vs-real distributional shortcuts, an effect partially but likely not fully mitigated by the real-only fine-tuning phase.</w:t>
      </w:r>
    </w:p>
    <w:p>
      <w:pPr>
        <w:spacing w:after="160"/>
      </w:pPr>
      <w:r>
        <w:t xml:space="preserve">Despite these encouraging directional results, none of the three balancing conditions reached statistical significance against the baseline at this single seed. The 95% confidence intervals for C2 and C3 are notably closer to excluding zero than in earlier iterations of this pipeline (which used prior-sampling VAE generation without the real-only fine-tuning phase, and in early testing showed C3 numerically underperforming C0). This suggests the methodological refinements made during development — particularly manifold-interpolation-based generation and the real-only polish phase — provided a genuine, measurable improvement in how effectively the synthetic data could be used, even though the single-seed result does not yet meet the threshold for a statistically confirmed claim.</w:t>
      </w:r>
    </w:p>
    <w:p>
      <w:pPr>
        <w:pStyle w:val="Heading1"/>
        <w:spacing w:after="150" w:before="300"/>
      </w:pPr>
      <w:r>
        <w:t xml:space="preserve">6. Limitations</w:t>
      </w:r>
    </w:p>
    <w:p>
      <w:pPr>
        <w:pStyle w:val="ListParagraph"/>
        <w:numPr>
          <w:ilvl w:val="0"/>
          <w:numId w:val="1"/>
        </w:numPr>
        <w:spacing w:after="80"/>
      </w:pPr>
      <w:r>
        <w:t xml:space="preserve">Single-seed result: this report is based on one train/val/test split (seed 17). The project's own design specifies evaluation across 3 seeds (17, 29, 41) with aggregated confidence intervals before drawing a final conclusion; that full multi-seed evaluation was not completed due to time constraints, and the statistical significance test above should be read accordingly as suggestive, not confirmatory.</w:t>
      </w:r>
    </w:p>
    <w:p>
      <w:pPr>
        <w:pStyle w:val="ListParagraph"/>
        <w:numPr>
          <w:ilvl w:val="0"/>
          <w:numId w:val="1"/>
        </w:numPr>
        <w:spacing w:after="80"/>
      </w:pPr>
      <w:r>
        <w:t xml:space="preserve">No patient-ID metadata: the original HAM10000 release does not provide reliable patient identifiers, so splitting was performed at the lesion level rather than the patient level; some risk of same-patient (different-lesion) leakage across partitions cannot be fully ruled out.</w:t>
      </w:r>
    </w:p>
    <w:p>
      <w:pPr>
        <w:pStyle w:val="ListParagraph"/>
        <w:numPr>
          <w:ilvl w:val="0"/>
          <w:numId w:val="1"/>
        </w:numPr>
        <w:spacing w:after="80"/>
      </w:pPr>
      <w:r>
        <w:t xml:space="preserve">Extreme minority classes (df: 82, vasc: 97 real training images) remain the hardest to model well regardless of balancing strategy — their VAEs had the least real data to learn from, and their absolute recall values, while improved, remain the lowest of all seven classes.</w:t>
      </w:r>
    </w:p>
    <w:p>
      <w:pPr>
        <w:pStyle w:val="ListParagraph"/>
        <w:numPr>
          <w:ilvl w:val="0"/>
          <w:numId w:val="1"/>
        </w:numPr>
        <w:spacing w:after="80"/>
      </w:pPr>
      <w:r>
        <w:t xml:space="preserve">This is an academic benchmark exercise, not a validated clinical tool; performance on this test partition should not be interpreted as an estimate of real-world diagnostic performance.</w:t>
      </w:r>
    </w:p>
    <w:p>
      <w:pPr>
        <w:pStyle w:val="Heading1"/>
        <w:spacing w:after="150" w:before="300"/>
      </w:pPr>
      <w:r>
        <w:t xml:space="preserve">7. Conclusion</w:t>
      </w:r>
    </w:p>
    <w:p>
      <w:pPr>
        <w:spacing w:after="160"/>
      </w:pPr>
      <w:r>
        <w:t xml:space="preserve">At the tested seed, VAE-based synthetic minority-class augmentation (both moderate and full balancing) produced the highest overall macro-F1 and balanced accuracy among all four conditions tested, together with a clear improvement in recall for the rarest class and a recovery in melanoma recall relative to the imbalanced baseline — while classical oversampling did not match this benefit. However, these improvements did not reach statistical significance in a paired bootstrap test at this single seed. The honest conclusion is therefore: this pilot experiment found a promising, directionally consistent signal that VAE-generated synthetic images can improve minority-class recognition beyond what classical oversampling achieves, but this signal requires confirmation across additional random seeds before it can be reported as a statistically established result. This is a valid and complete finding for the scope of work undertaken, and the multi-seed confirmation is identified here as the clear next step for any continuation of this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2026-09-09T14:03:10.794Z</dcterms:created>
  <dcterms:modified xsi:type="dcterms:W3CDTF">2026-09-09T14:03:10.797Z</dcterms:modified>
</cp:coreProperties>
</file>

<file path=docProps/custom.xml><?xml version="1.0" encoding="utf-8"?>
<Properties xmlns="http://schemas.openxmlformats.org/officeDocument/2006/custom-properties" xmlns:vt="http://schemas.openxmlformats.org/officeDocument/2006/docPropsVTypes"/>
</file>