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3E5C47" w14:textId="69BCFF25" w:rsidR="00836657" w:rsidRPr="0005377B" w:rsidRDefault="00AD4A6B" w:rsidP="00836657">
      <w:pPr>
        <w:pStyle w:val="Heading1"/>
        <w:keepNext w:val="0"/>
        <w:keepLines w:val="0"/>
        <w:spacing w:before="480"/>
        <w:jc w:val="center"/>
        <w:rPr>
          <w:rStyle w:val="IntenseEmphasis"/>
        </w:rPr>
      </w:pPr>
      <w:r w:rsidRPr="0005377B">
        <w:rPr>
          <w:rStyle w:val="IntenseEmphasis"/>
        </w:rPr>
        <w:t>India Macro Indicators Policy Brief</w:t>
      </w:r>
      <w:bookmarkStart w:id="0" w:name="_70hau8pi3orr" w:colFirst="0" w:colLast="0"/>
      <w:bookmarkEnd w:id="0"/>
    </w:p>
    <w:p w14:paraId="129527D4" w14:textId="77777777" w:rsidR="00836657" w:rsidRPr="00836657" w:rsidRDefault="00836657" w:rsidP="00836657"/>
    <w:p w14:paraId="00000003" w14:textId="7ED70095" w:rsidR="00870F71" w:rsidRPr="0005377B" w:rsidRDefault="00AD4A6B" w:rsidP="00836657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r w:rsidRPr="0005377B">
        <w:rPr>
          <w:b/>
          <w:bCs/>
          <w:sz w:val="28"/>
          <w:szCs w:val="28"/>
        </w:rPr>
        <w:t>Executive Summary</w:t>
      </w:r>
      <w:r w:rsidR="00836657" w:rsidRPr="0005377B">
        <w:rPr>
          <w:b/>
          <w:bCs/>
          <w:sz w:val="28"/>
          <w:szCs w:val="28"/>
        </w:rPr>
        <w:t xml:space="preserve">: </w:t>
      </w:r>
    </w:p>
    <w:p w14:paraId="00000005" w14:textId="23A68B01" w:rsidR="00870F71" w:rsidRPr="004C630B" w:rsidRDefault="00AD4A6B">
      <w:pPr>
        <w:spacing w:before="240" w:after="240"/>
      </w:pPr>
      <w:r w:rsidRPr="004C630B">
        <w:t>India’s macroeconomic performance over 2015–2025 reflects resilien</w:t>
      </w:r>
      <w:r w:rsidR="004C630B" w:rsidRPr="004C630B">
        <w:t>ce amid significant disruptions</w:t>
      </w:r>
      <w:r w:rsidRPr="004C630B">
        <w:t xml:space="preserve"> particularly the COVID-19 shock. Grow</w:t>
      </w:r>
      <w:r w:rsidR="004C630B" w:rsidRPr="004C630B">
        <w:t>th recovered strongly post-2020</w:t>
      </w:r>
      <w:r w:rsidRPr="004C630B">
        <w:t xml:space="preserve"> supported by fiscal expansion and rising investment inflows. However, inflation volatility, </w:t>
      </w:r>
      <w:r w:rsidR="004C630B" w:rsidRPr="004C630B">
        <w:t xml:space="preserve">persistent external imbalances </w:t>
      </w:r>
      <w:r w:rsidRPr="004C630B">
        <w:t>and elevated fiscal deficits remain key concerns.</w:t>
      </w:r>
      <w:r w:rsidR="0005377B">
        <w:t xml:space="preserve"> </w:t>
      </w:r>
      <w:r w:rsidR="0005377B" w:rsidRPr="004C630B">
        <w:t xml:space="preserve">Policy focus must shift toward </w:t>
      </w:r>
      <w:r w:rsidR="0005377B" w:rsidRPr="004C630B">
        <w:rPr>
          <w:bCs/>
        </w:rPr>
        <w:t>sustainable growth, inflation control and external balance management</w:t>
      </w:r>
      <w:r w:rsidR="0005377B" w:rsidRPr="004C630B">
        <w:t>.</w:t>
      </w:r>
      <w:bookmarkStart w:id="1" w:name="_648e05jfe0h0" w:colFirst="0" w:colLast="0"/>
      <w:bookmarkEnd w:id="1"/>
      <w:r w:rsidR="0005377B">
        <w:t xml:space="preserve"> </w:t>
      </w:r>
      <w:r w:rsidRPr="004C630B">
        <w:t>The analysis highlights three core themes:</w:t>
      </w:r>
    </w:p>
    <w:p w14:paraId="00000006" w14:textId="77777777" w:rsidR="00870F71" w:rsidRPr="004C630B" w:rsidRDefault="00AD4A6B">
      <w:pPr>
        <w:numPr>
          <w:ilvl w:val="0"/>
          <w:numId w:val="2"/>
        </w:numPr>
        <w:spacing w:before="240"/>
      </w:pPr>
      <w:r w:rsidRPr="004C630B">
        <w:rPr>
          <w:bCs/>
        </w:rPr>
        <w:t>Strong recovery but uneven stability</w:t>
      </w:r>
    </w:p>
    <w:p w14:paraId="00000007" w14:textId="77777777" w:rsidR="00870F71" w:rsidRPr="004C630B" w:rsidRDefault="00AD4A6B">
      <w:pPr>
        <w:numPr>
          <w:ilvl w:val="0"/>
          <w:numId w:val="2"/>
        </w:numPr>
      </w:pPr>
      <w:r w:rsidRPr="004C630B">
        <w:rPr>
          <w:bCs/>
        </w:rPr>
        <w:t>Inflation and external sector remain vulnerable</w:t>
      </w:r>
    </w:p>
    <w:p w14:paraId="621AB153" w14:textId="76D1BA08" w:rsidR="00836657" w:rsidRDefault="00AD4A6B" w:rsidP="0005377B">
      <w:pPr>
        <w:numPr>
          <w:ilvl w:val="0"/>
          <w:numId w:val="2"/>
        </w:numPr>
        <w:spacing w:after="240"/>
      </w:pPr>
      <w:r w:rsidRPr="004C630B">
        <w:rPr>
          <w:bCs/>
        </w:rPr>
        <w:t>Investment flows are a major positive driver</w:t>
      </w:r>
    </w:p>
    <w:p w14:paraId="66DAC0D6" w14:textId="77777777" w:rsidR="0005377B" w:rsidRDefault="0005377B" w:rsidP="0005377B">
      <w:pPr>
        <w:spacing w:after="240"/>
      </w:pPr>
    </w:p>
    <w:p w14:paraId="0000000B" w14:textId="15DCF792" w:rsidR="00870F71" w:rsidRPr="0005377B" w:rsidRDefault="00AD4A6B" w:rsidP="00836657">
      <w:pPr>
        <w:spacing w:before="240" w:after="240"/>
        <w:rPr>
          <w:sz w:val="28"/>
          <w:szCs w:val="28"/>
        </w:rPr>
      </w:pPr>
      <w:r w:rsidRPr="0005377B">
        <w:rPr>
          <w:b/>
          <w:bCs/>
          <w:sz w:val="28"/>
          <w:szCs w:val="28"/>
        </w:rPr>
        <w:t>Key Findings (Across Indicators)</w:t>
      </w:r>
      <w:r w:rsidR="00836657" w:rsidRPr="0005377B">
        <w:rPr>
          <w:b/>
          <w:bCs/>
          <w:sz w:val="28"/>
          <w:szCs w:val="28"/>
        </w:rPr>
        <w:t>:</w:t>
      </w:r>
    </w:p>
    <w:p w14:paraId="0000000C" w14:textId="77777777" w:rsidR="00870F71" w:rsidRPr="004C630B" w:rsidRDefault="00AD4A6B">
      <w:pPr>
        <w:numPr>
          <w:ilvl w:val="0"/>
          <w:numId w:val="4"/>
        </w:numPr>
        <w:spacing w:before="240"/>
      </w:pPr>
      <w:r w:rsidRPr="004C630B">
        <w:t xml:space="preserve">GDP shows a </w:t>
      </w:r>
      <w:r w:rsidRPr="004C630B">
        <w:rPr>
          <w:bCs/>
        </w:rPr>
        <w:t>V-shaped recovery</w:t>
      </w:r>
      <w:r w:rsidRPr="004C630B">
        <w:t xml:space="preserve"> post-2020</w:t>
      </w:r>
    </w:p>
    <w:p w14:paraId="0000000D" w14:textId="77777777" w:rsidR="00870F71" w:rsidRPr="004C630B" w:rsidRDefault="00AD4A6B">
      <w:pPr>
        <w:numPr>
          <w:ilvl w:val="0"/>
          <w:numId w:val="4"/>
        </w:numPr>
      </w:pPr>
      <w:r w:rsidRPr="004C630B">
        <w:t xml:space="preserve">Inflation spikes align with </w:t>
      </w:r>
      <w:r w:rsidRPr="004C630B">
        <w:rPr>
          <w:bCs/>
        </w:rPr>
        <w:t>global supply shocks and currency pressure</w:t>
      </w:r>
    </w:p>
    <w:p w14:paraId="0000000E" w14:textId="77777777" w:rsidR="00870F71" w:rsidRPr="004C630B" w:rsidRDefault="00AD4A6B">
      <w:pPr>
        <w:numPr>
          <w:ilvl w:val="0"/>
          <w:numId w:val="4"/>
        </w:numPr>
      </w:pPr>
      <w:r w:rsidRPr="004C630B">
        <w:t>Fiscal deficit widened significantly during crisis periods</w:t>
      </w:r>
    </w:p>
    <w:p w14:paraId="0000000F" w14:textId="4D1DC5A2" w:rsidR="00870F71" w:rsidRPr="004C630B" w:rsidRDefault="004C630B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Trade imbalance persists as </w:t>
      </w:r>
      <w:r w:rsidR="00AD4A6B" w:rsidRPr="004C630B">
        <w:rPr>
          <w:rFonts w:ascii="Arial Unicode MS" w:eastAsia="Arial Unicode MS" w:hAnsi="Arial Unicode MS" w:cs="Arial Unicode MS"/>
        </w:rPr>
        <w:t>imports consistently exceed exports</w:t>
      </w:r>
    </w:p>
    <w:p w14:paraId="00000010" w14:textId="7B20B162" w:rsidR="00870F71" w:rsidRPr="004C630B" w:rsidRDefault="004C630B">
      <w:pPr>
        <w:numPr>
          <w:ilvl w:val="0"/>
          <w:numId w:val="4"/>
        </w:numPr>
      </w:pPr>
      <w:r>
        <w:t>CAD remains volatile</w:t>
      </w:r>
      <w:r w:rsidR="00AD4A6B" w:rsidRPr="004C630B">
        <w:t xml:space="preserve"> reflecting external vulnerability</w:t>
      </w:r>
    </w:p>
    <w:p w14:paraId="7CB9990F" w14:textId="051F4851" w:rsidR="00836657" w:rsidRDefault="00AD4A6B" w:rsidP="00836657">
      <w:pPr>
        <w:numPr>
          <w:ilvl w:val="0"/>
          <w:numId w:val="4"/>
        </w:numPr>
        <w:spacing w:after="240"/>
      </w:pPr>
      <w:r w:rsidRPr="004C630B">
        <w:t xml:space="preserve">FDI inflows indicate </w:t>
      </w:r>
      <w:r w:rsidRPr="004C630B">
        <w:rPr>
          <w:bCs/>
        </w:rPr>
        <w:t>long-term investor confidence in India</w:t>
      </w:r>
      <w:bookmarkStart w:id="2" w:name="_93exkto71o6z" w:colFirst="0" w:colLast="0"/>
      <w:bookmarkEnd w:id="2"/>
    </w:p>
    <w:p w14:paraId="1C25FC48" w14:textId="77777777" w:rsidR="0005377B" w:rsidRPr="0005377B" w:rsidRDefault="0005377B" w:rsidP="0005377B">
      <w:pPr>
        <w:spacing w:after="240"/>
      </w:pPr>
    </w:p>
    <w:p w14:paraId="3CF3F1E9" w14:textId="77777777" w:rsidR="00836657" w:rsidRPr="0005377B" w:rsidRDefault="00836657" w:rsidP="00836657">
      <w:pPr>
        <w:spacing w:after="240"/>
        <w:rPr>
          <w:b/>
          <w:bCs/>
          <w:sz w:val="28"/>
          <w:szCs w:val="28"/>
        </w:rPr>
      </w:pPr>
      <w:r w:rsidRPr="0005377B">
        <w:rPr>
          <w:b/>
          <w:bCs/>
          <w:sz w:val="28"/>
          <w:szCs w:val="28"/>
        </w:rPr>
        <w:t xml:space="preserve">Indicator </w:t>
      </w:r>
      <w:r w:rsidR="00AD4A6B" w:rsidRPr="0005377B">
        <w:rPr>
          <w:b/>
          <w:bCs/>
          <w:sz w:val="28"/>
          <w:szCs w:val="28"/>
        </w:rPr>
        <w:t>wise Insights &amp; Recommendations</w:t>
      </w:r>
      <w:r w:rsidRPr="0005377B">
        <w:rPr>
          <w:b/>
          <w:bCs/>
          <w:sz w:val="28"/>
          <w:szCs w:val="28"/>
        </w:rPr>
        <w:t>:</w:t>
      </w:r>
      <w:bookmarkStart w:id="3" w:name="_kxlce6k04ceb" w:colFirst="0" w:colLast="0"/>
      <w:bookmarkEnd w:id="3"/>
    </w:p>
    <w:p w14:paraId="00000015" w14:textId="7C24C7CE" w:rsidR="00870F71" w:rsidRPr="0005377B" w:rsidRDefault="00AD4A6B" w:rsidP="00836657">
      <w:pPr>
        <w:spacing w:after="240"/>
        <w:rPr>
          <w:sz w:val="24"/>
          <w:szCs w:val="24"/>
        </w:rPr>
      </w:pPr>
      <w:r w:rsidRPr="0005377B">
        <w:rPr>
          <w:b/>
          <w:bCs/>
          <w:color w:val="000000"/>
          <w:sz w:val="24"/>
          <w:szCs w:val="24"/>
        </w:rPr>
        <w:t>1. GDP Growth</w:t>
      </w:r>
      <w:r w:rsidR="0005377B">
        <w:rPr>
          <w:b/>
          <w:bCs/>
          <w:color w:val="000000"/>
          <w:sz w:val="24"/>
          <w:szCs w:val="24"/>
        </w:rPr>
        <w:t>:</w:t>
      </w:r>
    </w:p>
    <w:p w14:paraId="15006F6A" w14:textId="41D46EDA" w:rsidR="00B73645" w:rsidRDefault="00AE7A68" w:rsidP="00836657">
      <w:pPr>
        <w:spacing w:before="240" w:after="240"/>
        <w:jc w:val="center"/>
        <w:rPr>
          <w:b/>
          <w:bCs/>
        </w:rPr>
      </w:pPr>
      <w:r w:rsidRPr="00AE7A68">
        <w:rPr>
          <w:b/>
          <w:bCs/>
        </w:rPr>
        <w:drawing>
          <wp:inline distT="0" distB="0" distL="0" distR="0" wp14:anchorId="0DAD6742" wp14:editId="6F8AAF31">
            <wp:extent cx="3533775" cy="1591945"/>
            <wp:effectExtent l="0" t="0" r="952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3612" cy="163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2F305BD4" w:rsidR="00870F71" w:rsidRDefault="00AD4A6B">
      <w:pPr>
        <w:spacing w:before="240" w:after="240"/>
      </w:pPr>
      <w:r>
        <w:rPr>
          <w:b/>
          <w:bCs/>
        </w:rPr>
        <w:lastRenderedPageBreak/>
        <w:t>Insight:</w:t>
      </w:r>
      <w:r>
        <w:rPr>
          <w:b/>
          <w:bCs/>
        </w:rPr>
        <w:br/>
      </w:r>
      <w:r>
        <w:t>GDP experienced a sharp contraction in 20</w:t>
      </w:r>
      <w:r w:rsidR="00AE7A68">
        <w:t>20 followed by a strong rebound</w:t>
      </w:r>
      <w:r>
        <w:t xml:space="preserve"> indicating resilience but also exposure to global shocks.</w:t>
      </w:r>
    </w:p>
    <w:p w14:paraId="00000018" w14:textId="0BC35A5D" w:rsidR="00870F71" w:rsidRDefault="00AD4A6B">
      <w:pPr>
        <w:spacing w:before="240" w:after="240"/>
      </w:pPr>
      <w:r>
        <w:rPr>
          <w:b/>
          <w:bCs/>
        </w:rPr>
        <w:t>Recommendation:</w:t>
      </w:r>
      <w:r>
        <w:rPr>
          <w:b/>
          <w:bCs/>
        </w:rPr>
        <w:br/>
      </w:r>
      <w:r>
        <w:t>Focus o</w:t>
      </w:r>
      <w:r w:rsidRPr="009432F7">
        <w:t xml:space="preserve">n </w:t>
      </w:r>
      <w:r w:rsidRPr="009432F7">
        <w:rPr>
          <w:bCs/>
        </w:rPr>
        <w:t>diversifying growth drivers</w:t>
      </w:r>
      <w:r w:rsidR="00AE7A68" w:rsidRPr="009432F7">
        <w:t xml:space="preserve"> like</w:t>
      </w:r>
      <w:r w:rsidR="00AE7A68">
        <w:t xml:space="preserve"> manufacturing and exports</w:t>
      </w:r>
      <w:r>
        <w:t xml:space="preserve"> to r</w:t>
      </w:r>
      <w:r w:rsidR="00AE7A68">
        <w:t xml:space="preserve">educe dependence on consumption </w:t>
      </w:r>
      <w:r>
        <w:t>led recovery.</w:t>
      </w:r>
    </w:p>
    <w:p w14:paraId="0000001A" w14:textId="7A1B5EB5" w:rsidR="00870F71" w:rsidRPr="0005377B" w:rsidRDefault="00AD4A6B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" w:name="_hixa01jd4n0h" w:colFirst="0" w:colLast="0"/>
      <w:bookmarkEnd w:id="4"/>
      <w:r w:rsidRPr="0005377B">
        <w:rPr>
          <w:b/>
          <w:bCs/>
          <w:color w:val="000000"/>
          <w:sz w:val="24"/>
          <w:szCs w:val="24"/>
        </w:rPr>
        <w:t>2. Inflation (CPI)</w:t>
      </w:r>
      <w:r w:rsidR="00836657" w:rsidRPr="0005377B">
        <w:rPr>
          <w:b/>
          <w:bCs/>
          <w:color w:val="000000"/>
          <w:sz w:val="24"/>
          <w:szCs w:val="24"/>
        </w:rPr>
        <w:t xml:space="preserve">: </w:t>
      </w:r>
    </w:p>
    <w:p w14:paraId="769AFAFE" w14:textId="79F182F7" w:rsidR="00AE7A68" w:rsidRDefault="00AE7A68" w:rsidP="00AE7A68">
      <w:pPr>
        <w:spacing w:before="240" w:after="240"/>
        <w:jc w:val="center"/>
        <w:rPr>
          <w:b/>
          <w:bCs/>
        </w:rPr>
      </w:pPr>
      <w:r w:rsidRPr="00AE7A68">
        <w:rPr>
          <w:b/>
          <w:bCs/>
        </w:rPr>
        <w:drawing>
          <wp:inline distT="0" distB="0" distL="0" distR="0" wp14:anchorId="413A31A6" wp14:editId="5EA52C68">
            <wp:extent cx="3409950" cy="1899608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047" cy="192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77EA1DD3" w:rsidR="00870F71" w:rsidRDefault="00AD4A6B" w:rsidP="00AE7A68">
      <w:pPr>
        <w:spacing w:before="240" w:after="240"/>
      </w:pPr>
      <w:r>
        <w:rPr>
          <w:b/>
          <w:bCs/>
        </w:rPr>
        <w:t>Insight:</w:t>
      </w:r>
      <w:r>
        <w:rPr>
          <w:b/>
          <w:bCs/>
        </w:rPr>
        <w:br/>
      </w:r>
      <w:r>
        <w:t>Inflation surged during 2020–2022 due to supply chain disrupti</w:t>
      </w:r>
      <w:r w:rsidR="009432F7">
        <w:t>ons and exchange rate pressures because of COVID.</w:t>
      </w:r>
    </w:p>
    <w:p w14:paraId="0000001D" w14:textId="0AD9A928" w:rsidR="00870F71" w:rsidRDefault="00AD4A6B">
      <w:pPr>
        <w:spacing w:before="240" w:after="240"/>
      </w:pPr>
      <w:r>
        <w:rPr>
          <w:b/>
          <w:bCs/>
        </w:rPr>
        <w:t>Recommendation:</w:t>
      </w:r>
      <w:r>
        <w:rPr>
          <w:b/>
          <w:bCs/>
        </w:rPr>
        <w:br/>
      </w:r>
      <w:r>
        <w:t xml:space="preserve">Strengthen </w:t>
      </w:r>
      <w:r w:rsidR="009432F7" w:rsidRPr="009432F7">
        <w:rPr>
          <w:bCs/>
        </w:rPr>
        <w:t xml:space="preserve">monetary </w:t>
      </w:r>
      <w:r w:rsidRPr="009432F7">
        <w:rPr>
          <w:bCs/>
        </w:rPr>
        <w:t>fiscal coordination</w:t>
      </w:r>
      <w:r w:rsidRPr="009432F7">
        <w:t xml:space="preserve"> to control inflation while maintaining growth momentum.</w:t>
      </w:r>
    </w:p>
    <w:p w14:paraId="0000001F" w14:textId="2A122AF0" w:rsidR="00870F71" w:rsidRPr="0005377B" w:rsidRDefault="00AD4A6B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6"/>
        </w:rPr>
      </w:pPr>
      <w:bookmarkStart w:id="5" w:name="_egy61181r7ru" w:colFirst="0" w:colLast="0"/>
      <w:bookmarkEnd w:id="5"/>
      <w:r w:rsidRPr="0005377B">
        <w:rPr>
          <w:b/>
          <w:bCs/>
          <w:color w:val="000000"/>
          <w:sz w:val="24"/>
          <w:szCs w:val="26"/>
        </w:rPr>
        <w:t>3. Fiscal Deficit</w:t>
      </w:r>
      <w:r w:rsidR="0005377B" w:rsidRPr="0005377B">
        <w:rPr>
          <w:b/>
          <w:bCs/>
          <w:color w:val="000000"/>
          <w:sz w:val="24"/>
          <w:szCs w:val="26"/>
        </w:rPr>
        <w:t>:</w:t>
      </w:r>
    </w:p>
    <w:p w14:paraId="4F348CC9" w14:textId="77777777" w:rsidR="00AE7A68" w:rsidRDefault="00AE7A68" w:rsidP="009432F7">
      <w:pPr>
        <w:spacing w:before="240" w:after="240"/>
        <w:jc w:val="center"/>
        <w:rPr>
          <w:b/>
          <w:bCs/>
        </w:rPr>
      </w:pPr>
      <w:r w:rsidRPr="00AE7A68">
        <w:drawing>
          <wp:inline distT="0" distB="0" distL="0" distR="0" wp14:anchorId="67FCAF82" wp14:editId="61A05655">
            <wp:extent cx="3269615" cy="274320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 w14:textId="0AFE0C8F" w:rsidR="00870F71" w:rsidRDefault="00AD4A6B">
      <w:pPr>
        <w:spacing w:before="240" w:after="240"/>
      </w:pPr>
      <w:r>
        <w:rPr>
          <w:b/>
          <w:bCs/>
        </w:rPr>
        <w:lastRenderedPageBreak/>
        <w:t>Insight:</w:t>
      </w:r>
      <w:r>
        <w:rPr>
          <w:b/>
          <w:bCs/>
        </w:rPr>
        <w:br/>
      </w:r>
      <w:r>
        <w:t>Fiscal deficit expanded significantly during the pandemic and remains elevated.</w:t>
      </w:r>
    </w:p>
    <w:p w14:paraId="29A295EA" w14:textId="77777777" w:rsidR="0005377B" w:rsidRDefault="00AD4A6B" w:rsidP="0005377B">
      <w:pPr>
        <w:spacing w:before="240" w:after="240"/>
      </w:pPr>
      <w:r>
        <w:rPr>
          <w:b/>
          <w:bCs/>
        </w:rPr>
        <w:t>Recommendation:</w:t>
      </w:r>
      <w:r>
        <w:rPr>
          <w:b/>
          <w:bCs/>
        </w:rPr>
        <w:br/>
      </w:r>
      <w:r w:rsidRPr="009432F7">
        <w:t xml:space="preserve">Implement </w:t>
      </w:r>
      <w:r w:rsidRPr="009432F7">
        <w:rPr>
          <w:bCs/>
        </w:rPr>
        <w:t>gradual fiscal consolidation</w:t>
      </w:r>
      <w:r w:rsidRPr="009432F7">
        <w:t xml:space="preserve"> while prioritizing capital expenditure over revenue spending.</w:t>
      </w:r>
      <w:bookmarkStart w:id="6" w:name="_ctwvwntop7zc" w:colFirst="0" w:colLast="0"/>
      <w:bookmarkEnd w:id="6"/>
    </w:p>
    <w:p w14:paraId="00000024" w14:textId="79075707" w:rsidR="00870F71" w:rsidRPr="0005377B" w:rsidRDefault="00AD4A6B" w:rsidP="0005377B">
      <w:pPr>
        <w:spacing w:before="240" w:after="240"/>
      </w:pPr>
      <w:r w:rsidRPr="0005377B">
        <w:rPr>
          <w:b/>
          <w:bCs/>
          <w:color w:val="000000"/>
          <w:sz w:val="24"/>
          <w:szCs w:val="26"/>
        </w:rPr>
        <w:t>4. Trade &amp; Current Account Deficit (CAD)</w:t>
      </w:r>
      <w:r w:rsidR="0005377B">
        <w:rPr>
          <w:b/>
          <w:bCs/>
          <w:color w:val="000000"/>
          <w:sz w:val="24"/>
          <w:szCs w:val="26"/>
        </w:rPr>
        <w:t>:</w:t>
      </w:r>
    </w:p>
    <w:p w14:paraId="5555A8DF" w14:textId="77777777" w:rsidR="009432F7" w:rsidRDefault="00AE7A68" w:rsidP="009432F7">
      <w:pPr>
        <w:spacing w:before="240" w:after="240"/>
        <w:jc w:val="center"/>
        <w:rPr>
          <w:b/>
          <w:bCs/>
        </w:rPr>
      </w:pPr>
      <w:r w:rsidRPr="00AE7A68">
        <w:drawing>
          <wp:inline distT="0" distB="0" distL="0" distR="0" wp14:anchorId="76AA085B" wp14:editId="5533143B">
            <wp:extent cx="3581298" cy="1594485"/>
            <wp:effectExtent l="0" t="0" r="63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1852" cy="163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BAC5" w14:textId="06390A88" w:rsidR="00AE7A68" w:rsidRDefault="00AE7A68" w:rsidP="009432F7">
      <w:pPr>
        <w:spacing w:before="240" w:after="240"/>
        <w:jc w:val="center"/>
        <w:rPr>
          <w:b/>
          <w:bCs/>
        </w:rPr>
      </w:pPr>
      <w:r w:rsidRPr="00AE7A68">
        <w:rPr>
          <w:b/>
          <w:bCs/>
        </w:rPr>
        <w:drawing>
          <wp:inline distT="0" distB="0" distL="0" distR="0" wp14:anchorId="58444FE5" wp14:editId="04E5FEA3">
            <wp:extent cx="3581400" cy="1547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2718" cy="15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 w14:textId="702E3A6D" w:rsidR="00870F71" w:rsidRDefault="00AD4A6B">
      <w:pPr>
        <w:spacing w:before="240" w:after="240"/>
      </w:pPr>
      <w:r>
        <w:rPr>
          <w:b/>
          <w:bCs/>
        </w:rPr>
        <w:t>Insight:</w:t>
      </w:r>
      <w:r>
        <w:rPr>
          <w:b/>
          <w:bCs/>
        </w:rPr>
        <w:br/>
      </w:r>
      <w:r>
        <w:t>Persistent tra</w:t>
      </w:r>
      <w:r w:rsidR="009432F7">
        <w:t>de deficit drives CAD volatilit</w:t>
      </w:r>
      <w:r w:rsidR="00836657">
        <w:t>y</w:t>
      </w:r>
      <w:r>
        <w:t xml:space="preserve"> making the economy vulnerable to global shocks.</w:t>
      </w:r>
    </w:p>
    <w:p w14:paraId="4710D974" w14:textId="77777777" w:rsidR="0005377B" w:rsidRDefault="00AD4A6B" w:rsidP="0005377B">
      <w:pPr>
        <w:spacing w:before="240" w:after="240"/>
      </w:pPr>
      <w:r>
        <w:rPr>
          <w:b/>
          <w:bCs/>
        </w:rPr>
        <w:t>Recommendation:</w:t>
      </w:r>
      <w:r>
        <w:rPr>
          <w:b/>
          <w:bCs/>
        </w:rPr>
        <w:br/>
      </w:r>
      <w:r>
        <w:t xml:space="preserve">Promote </w:t>
      </w:r>
      <w:r w:rsidRPr="009432F7">
        <w:rPr>
          <w:bCs/>
        </w:rPr>
        <w:t>export competitiveness and reduce import dependence</w:t>
      </w:r>
      <w:r w:rsidR="009432F7">
        <w:t>.</w:t>
      </w:r>
      <w:bookmarkStart w:id="7" w:name="_rg2fzz486kb3" w:colFirst="0" w:colLast="0"/>
      <w:bookmarkEnd w:id="7"/>
    </w:p>
    <w:p w14:paraId="00000029" w14:textId="67190CE7" w:rsidR="00870F71" w:rsidRPr="0005377B" w:rsidRDefault="00AD4A6B" w:rsidP="0005377B">
      <w:pPr>
        <w:spacing w:before="240" w:after="240"/>
      </w:pPr>
      <w:r w:rsidRPr="0005377B">
        <w:rPr>
          <w:b/>
          <w:bCs/>
          <w:color w:val="000000"/>
          <w:sz w:val="24"/>
          <w:szCs w:val="26"/>
        </w:rPr>
        <w:t>5. FDI &amp; Investment</w:t>
      </w:r>
      <w:r w:rsidR="0005377B">
        <w:rPr>
          <w:b/>
          <w:bCs/>
          <w:color w:val="000000"/>
          <w:sz w:val="24"/>
          <w:szCs w:val="26"/>
        </w:rPr>
        <w:t>:</w:t>
      </w:r>
    </w:p>
    <w:p w14:paraId="269CFD35" w14:textId="77777777" w:rsidR="00AE7A68" w:rsidRDefault="00AE7A68" w:rsidP="009432F7">
      <w:pPr>
        <w:spacing w:before="240" w:after="240"/>
        <w:jc w:val="center"/>
        <w:rPr>
          <w:b/>
          <w:bCs/>
        </w:rPr>
      </w:pPr>
      <w:r w:rsidRPr="00AE7A68">
        <w:drawing>
          <wp:inline distT="0" distB="0" distL="0" distR="0" wp14:anchorId="4372DD14" wp14:editId="7770D4B8">
            <wp:extent cx="3295869" cy="1714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6346" cy="178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1E43E352" w:rsidR="00870F71" w:rsidRDefault="00AD4A6B">
      <w:pPr>
        <w:spacing w:before="240" w:after="240"/>
      </w:pPr>
      <w:r>
        <w:rPr>
          <w:b/>
          <w:bCs/>
        </w:rPr>
        <w:lastRenderedPageBreak/>
        <w:t>Insight:</w:t>
      </w:r>
      <w:r>
        <w:rPr>
          <w:b/>
          <w:bCs/>
        </w:rPr>
        <w:br/>
      </w:r>
      <w:r>
        <w:t>FDI inflows in</w:t>
      </w:r>
      <w:r w:rsidR="009432F7">
        <w:t>creased significantly post-2020</w:t>
      </w:r>
      <w:r>
        <w:t xml:space="preserve"> reflecting strong investor confidence.</w:t>
      </w:r>
    </w:p>
    <w:p w14:paraId="199D9370" w14:textId="77777777" w:rsidR="00836657" w:rsidRDefault="00AD4A6B" w:rsidP="00836657">
      <w:pPr>
        <w:spacing w:before="240" w:after="240"/>
      </w:pPr>
      <w:r>
        <w:rPr>
          <w:b/>
          <w:bCs/>
        </w:rPr>
        <w:t>Recommendation:</w:t>
      </w:r>
      <w:r>
        <w:rPr>
          <w:b/>
          <w:bCs/>
        </w:rPr>
        <w:br/>
      </w:r>
      <w:r>
        <w:t xml:space="preserve">Sustain reforms that improve </w:t>
      </w:r>
      <w:r w:rsidRPr="009432F7">
        <w:rPr>
          <w:bCs/>
        </w:rPr>
        <w:t>ease of doing business and sectoral liberalization</w:t>
      </w:r>
      <w:r w:rsidRPr="009432F7">
        <w:t>.</w:t>
      </w:r>
      <w:bookmarkStart w:id="8" w:name="_pj5wd5v48g11" w:colFirst="0" w:colLast="0"/>
      <w:bookmarkStart w:id="9" w:name="_im5szu1zd74a" w:colFirst="0" w:colLast="0"/>
      <w:bookmarkEnd w:id="8"/>
      <w:bookmarkEnd w:id="9"/>
    </w:p>
    <w:p w14:paraId="78E000D8" w14:textId="77777777" w:rsidR="00836657" w:rsidRDefault="00836657" w:rsidP="00836657">
      <w:pPr>
        <w:spacing w:before="240" w:after="240"/>
      </w:pPr>
    </w:p>
    <w:p w14:paraId="6627BF28" w14:textId="7BE93B83" w:rsidR="009432F7" w:rsidRPr="0005377B" w:rsidRDefault="009432F7" w:rsidP="00836657">
      <w:pPr>
        <w:spacing w:before="240" w:after="240"/>
        <w:rPr>
          <w:sz w:val="28"/>
          <w:szCs w:val="28"/>
        </w:rPr>
      </w:pPr>
      <w:r w:rsidRPr="0005377B">
        <w:rPr>
          <w:b/>
          <w:bCs/>
          <w:sz w:val="28"/>
          <w:szCs w:val="28"/>
        </w:rPr>
        <w:t>Scenario Analysis:</w:t>
      </w:r>
    </w:p>
    <w:p w14:paraId="7B641CEB" w14:textId="77777777" w:rsidR="009432F7" w:rsidRDefault="00AE7A68" w:rsidP="009432F7">
      <w:pPr>
        <w:spacing w:before="240"/>
        <w:rPr>
          <w:b/>
          <w:bCs/>
        </w:rPr>
      </w:pPr>
      <w:r w:rsidRPr="00AE7A68">
        <w:drawing>
          <wp:inline distT="0" distB="0" distL="0" distR="0" wp14:anchorId="680EB65B" wp14:editId="6B3509A1">
            <wp:extent cx="5943600" cy="32873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 w14:textId="5DE027CF" w:rsidR="00870F71" w:rsidRDefault="00AD4A6B" w:rsidP="009432F7">
      <w:pPr>
        <w:pStyle w:val="ListParagraph"/>
        <w:numPr>
          <w:ilvl w:val="0"/>
          <w:numId w:val="3"/>
        </w:numPr>
        <w:spacing w:before="240"/>
      </w:pPr>
      <w:r w:rsidRPr="009432F7">
        <w:rPr>
          <w:b/>
          <w:bCs/>
        </w:rPr>
        <w:t>Bull Case:</w:t>
      </w:r>
      <w:r>
        <w:t xml:space="preserve"> High growth, controlled inflation, strong FDI</w:t>
      </w:r>
    </w:p>
    <w:p w14:paraId="00000036" w14:textId="77777777" w:rsidR="00870F71" w:rsidRDefault="00AD4A6B">
      <w:pPr>
        <w:numPr>
          <w:ilvl w:val="0"/>
          <w:numId w:val="3"/>
        </w:numPr>
      </w:pPr>
      <w:r>
        <w:rPr>
          <w:b/>
          <w:bCs/>
        </w:rPr>
        <w:t>Base Case:</w:t>
      </w:r>
      <w:r>
        <w:t xml:space="preserve"> Stable growth with moderate inflation</w:t>
      </w:r>
    </w:p>
    <w:p w14:paraId="00000037" w14:textId="77777777" w:rsidR="00870F71" w:rsidRDefault="00AD4A6B">
      <w:pPr>
        <w:numPr>
          <w:ilvl w:val="0"/>
          <w:numId w:val="3"/>
        </w:numPr>
        <w:spacing w:after="240"/>
      </w:pPr>
      <w:r>
        <w:rPr>
          <w:b/>
          <w:bCs/>
        </w:rPr>
        <w:t>Bear Case:</w:t>
      </w:r>
      <w:r>
        <w:t xml:space="preserve"> Slower growth, higher inflation, widening CAD</w:t>
      </w:r>
    </w:p>
    <w:p w14:paraId="2292D3F1" w14:textId="77777777" w:rsidR="00836657" w:rsidRDefault="00AD4A6B" w:rsidP="00836657">
      <w:pPr>
        <w:spacing w:before="240" w:after="240"/>
      </w:pPr>
      <w:r>
        <w:rPr>
          <w:b/>
          <w:bCs/>
        </w:rPr>
        <w:t>Policy Implication:</w:t>
      </w:r>
      <w:r w:rsidRPr="00836657">
        <w:rPr>
          <w:bCs/>
        </w:rPr>
        <w:br/>
      </w:r>
      <w:r w:rsidRPr="00836657">
        <w:t xml:space="preserve">India must prepare for downside risks by maintaining </w:t>
      </w:r>
      <w:r w:rsidRPr="00836657">
        <w:rPr>
          <w:bCs/>
        </w:rPr>
        <w:t>macroeconomic stability buffers</w:t>
      </w:r>
      <w:r w:rsidRPr="00836657">
        <w:t>.</w:t>
      </w:r>
      <w:bookmarkStart w:id="10" w:name="_aymboox84uv7" w:colFirst="0" w:colLast="0"/>
      <w:bookmarkEnd w:id="10"/>
    </w:p>
    <w:p w14:paraId="3750C301" w14:textId="77777777" w:rsidR="00836657" w:rsidRDefault="00836657" w:rsidP="00836657">
      <w:pPr>
        <w:spacing w:before="240" w:after="240"/>
      </w:pPr>
    </w:p>
    <w:p w14:paraId="0000003A" w14:textId="7788F878" w:rsidR="00870F71" w:rsidRPr="0005377B" w:rsidRDefault="00AD4A6B" w:rsidP="00836657">
      <w:pPr>
        <w:spacing w:before="240" w:after="240"/>
        <w:rPr>
          <w:sz w:val="18"/>
        </w:rPr>
      </w:pPr>
      <w:r w:rsidRPr="0005377B">
        <w:rPr>
          <w:b/>
          <w:bCs/>
          <w:sz w:val="28"/>
          <w:szCs w:val="34"/>
        </w:rPr>
        <w:t>Conclusion</w:t>
      </w:r>
      <w:r w:rsidR="0005377B">
        <w:rPr>
          <w:b/>
          <w:bCs/>
          <w:sz w:val="28"/>
          <w:szCs w:val="34"/>
        </w:rPr>
        <w:t>:</w:t>
      </w:r>
      <w:bookmarkStart w:id="11" w:name="_GoBack"/>
      <w:bookmarkEnd w:id="11"/>
    </w:p>
    <w:p w14:paraId="0000003B" w14:textId="77777777" w:rsidR="00870F71" w:rsidRDefault="00AD4A6B">
      <w:pPr>
        <w:spacing w:before="240" w:after="240"/>
      </w:pPr>
      <w:r>
        <w:t>India’s macroeconomic trajectory demonstrates resilience but also structural challenges. Sustaining long-term growth requires balancing:</w:t>
      </w:r>
    </w:p>
    <w:p w14:paraId="0000003C" w14:textId="77777777" w:rsidR="00870F71" w:rsidRDefault="00AD4A6B">
      <w:pPr>
        <w:numPr>
          <w:ilvl w:val="0"/>
          <w:numId w:val="1"/>
        </w:numPr>
        <w:spacing w:before="240"/>
      </w:pPr>
      <w:r>
        <w:t>Growth vs inflation</w:t>
      </w:r>
    </w:p>
    <w:p w14:paraId="0000003D" w14:textId="77777777" w:rsidR="00870F71" w:rsidRDefault="00AD4A6B">
      <w:pPr>
        <w:numPr>
          <w:ilvl w:val="0"/>
          <w:numId w:val="1"/>
        </w:numPr>
      </w:pPr>
      <w:r>
        <w:t>Fiscal expansion vs sustainability</w:t>
      </w:r>
    </w:p>
    <w:p w14:paraId="0000003E" w14:textId="77777777" w:rsidR="00870F71" w:rsidRDefault="00AD4A6B">
      <w:pPr>
        <w:numPr>
          <w:ilvl w:val="0"/>
          <w:numId w:val="1"/>
        </w:numPr>
        <w:spacing w:after="240"/>
      </w:pPr>
      <w:r>
        <w:lastRenderedPageBreak/>
        <w:t>External openness vs vulnerability</w:t>
      </w:r>
    </w:p>
    <w:sectPr w:rsidR="00870F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BE7068-21CE-49D1-AA45-69937DA8C6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443BFCE-87D6-4DB4-8B65-64849D8D309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ED2567"/>
    <w:multiLevelType w:val="multilevel"/>
    <w:tmpl w:val="35DCA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B12078"/>
    <w:multiLevelType w:val="multilevel"/>
    <w:tmpl w:val="8C3EB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A254EB"/>
    <w:multiLevelType w:val="multilevel"/>
    <w:tmpl w:val="149E3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774DAE"/>
    <w:multiLevelType w:val="multilevel"/>
    <w:tmpl w:val="C45C7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F71"/>
    <w:rsid w:val="0005377B"/>
    <w:rsid w:val="004C630B"/>
    <w:rsid w:val="00836657"/>
    <w:rsid w:val="00870F71"/>
    <w:rsid w:val="009432F7"/>
    <w:rsid w:val="00AD4A6B"/>
    <w:rsid w:val="00AE7A68"/>
    <w:rsid w:val="00B7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418A6"/>
  <w15:docId w15:val="{BF312527-EF42-4000-BC50-535588470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43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77B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2026-04-25T11:08:00Z</dcterms:created>
  <dcterms:modified xsi:type="dcterms:W3CDTF">2026-04-26T11:32:00Z</dcterms:modified>
</cp:coreProperties>
</file>