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5" w:type="dxa"/>
        <w:tblInd w:w="0" w:type="dxa"/>
        <w:tblBorders>
          <w:left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536"/>
        <w:gridCol w:w="3969"/>
      </w:tblGrid>
      <w:tr w:rsidR="004E2A32" w:rsidRPr="0021487A" w14:paraId="48A1E1B7" w14:textId="77777777" w:rsidTr="00550C55">
        <w:trPr>
          <w:trHeight w:val="1134"/>
        </w:trPr>
        <w:tc>
          <w:tcPr>
            <w:tcW w:w="4536" w:type="dxa"/>
            <w:tcBorders>
              <w:top w:val="single" w:sz="4" w:space="0" w:color="auto"/>
              <w:left w:val="nil"/>
              <w:bottom w:val="single" w:sz="4" w:space="0" w:color="auto"/>
              <w:right w:val="nil"/>
            </w:tcBorders>
            <w:vAlign w:val="center"/>
            <w:hideMark/>
          </w:tcPr>
          <w:p w14:paraId="5FF37E04" w14:textId="77777777" w:rsidR="004E2A32" w:rsidRDefault="004E2A32" w:rsidP="00550C55">
            <w:pPr>
              <w:rPr>
                <w:rFonts w:cs="Times New Roman"/>
              </w:rPr>
            </w:pPr>
            <w:r>
              <w:rPr>
                <w:rFonts w:cs="Times New Roman"/>
                <w:noProof/>
              </w:rPr>
              <w:drawing>
                <wp:inline distT="0" distB="0" distL="0" distR="0" wp14:anchorId="5D5DDF86" wp14:editId="169E8933">
                  <wp:extent cx="2743200" cy="745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745490"/>
                          </a:xfrm>
                          <a:prstGeom prst="rect">
                            <a:avLst/>
                          </a:prstGeom>
                          <a:noFill/>
                          <a:ln>
                            <a:noFill/>
                          </a:ln>
                        </pic:spPr>
                      </pic:pic>
                    </a:graphicData>
                  </a:graphic>
                </wp:inline>
              </w:drawing>
            </w:r>
          </w:p>
        </w:tc>
        <w:tc>
          <w:tcPr>
            <w:tcW w:w="3969" w:type="dxa"/>
            <w:tcBorders>
              <w:top w:val="single" w:sz="4" w:space="0" w:color="auto"/>
              <w:left w:val="nil"/>
              <w:bottom w:val="single" w:sz="4" w:space="0" w:color="auto"/>
              <w:right w:val="nil"/>
            </w:tcBorders>
            <w:hideMark/>
          </w:tcPr>
          <w:p w14:paraId="1B36419D" w14:textId="4D7892EB" w:rsidR="004E2A32" w:rsidRPr="0021487A" w:rsidRDefault="004E2A32" w:rsidP="000F775F">
            <w:pPr>
              <w:pStyle w:val="Prrafodelista"/>
              <w:numPr>
                <w:ilvl w:val="0"/>
                <w:numId w:val="4"/>
              </w:numPr>
              <w:spacing w:line="276" w:lineRule="auto"/>
              <w:ind w:left="1707" w:hanging="283"/>
              <w:rPr>
                <w:rFonts w:ascii="Times New Roman" w:hAnsi="Times New Roman" w:cs="Times New Roman"/>
                <w:bCs/>
                <w:sz w:val="18"/>
              </w:rPr>
            </w:pPr>
            <w:r>
              <w:rPr>
                <w:rFonts w:ascii="Times New Roman" w:hAnsi="Times New Roman" w:cs="Times New Roman"/>
                <w:bCs/>
                <w:sz w:val="18"/>
              </w:rPr>
              <w:t>Sheyla Mayli Vargas</w:t>
            </w:r>
            <w:r w:rsidRPr="0021487A">
              <w:rPr>
                <w:rFonts w:ascii="Times New Roman" w:hAnsi="Times New Roman" w:cs="Times New Roman"/>
                <w:bCs/>
                <w:sz w:val="18"/>
              </w:rPr>
              <w:t>-</w:t>
            </w:r>
            <w:r>
              <w:rPr>
                <w:rFonts w:ascii="Times New Roman" w:hAnsi="Times New Roman" w:cs="Times New Roman"/>
                <w:bCs/>
                <w:sz w:val="18"/>
              </w:rPr>
              <w:t>Rojas</w:t>
            </w:r>
            <w:r w:rsidRPr="0021487A">
              <w:rPr>
                <w:rFonts w:ascii="Times New Roman" w:hAnsi="Times New Roman" w:cs="Times New Roman"/>
                <w:bCs/>
                <w:sz w:val="18"/>
                <w:vertAlign w:val="superscript"/>
              </w:rPr>
              <w:t>1</w:t>
            </w:r>
          </w:p>
          <w:p w14:paraId="0B7FD591" w14:textId="77777777" w:rsidR="004E2A32" w:rsidRPr="0021487A" w:rsidRDefault="004E2A32" w:rsidP="00550C55">
            <w:pPr>
              <w:spacing w:line="276" w:lineRule="auto"/>
              <w:ind w:firstLine="1950"/>
              <w:rPr>
                <w:rFonts w:ascii="Times New Roman" w:hAnsi="Times New Roman" w:cs="Times New Roman"/>
                <w:bCs/>
                <w:sz w:val="18"/>
              </w:rPr>
            </w:pPr>
          </w:p>
          <w:p w14:paraId="4230D1A0" w14:textId="77777777" w:rsidR="004E2A32"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sidRPr="0021487A">
              <w:rPr>
                <w:rFonts w:ascii="Times New Roman" w:hAnsi="Times New Roman" w:cs="Times New Roman"/>
                <w:bCs/>
                <w:sz w:val="16"/>
              </w:rPr>
              <w:t>Universidad Nacional Toribio Rodríguez de Mendoza</w:t>
            </w:r>
          </w:p>
          <w:p w14:paraId="65E6B892" w14:textId="77777777" w:rsidR="004E2A32"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sidRPr="00925877">
              <w:rPr>
                <w:rFonts w:ascii="Times New Roman" w:hAnsi="Times New Roman" w:cs="Times New Roman"/>
                <w:bCs/>
                <w:sz w:val="16"/>
              </w:rPr>
              <w:t xml:space="preserve">Facultad de Ingeniería </w:t>
            </w:r>
            <w:r w:rsidR="00107DEC">
              <w:rPr>
                <w:rFonts w:ascii="Times New Roman" w:hAnsi="Times New Roman" w:cs="Times New Roman"/>
                <w:bCs/>
                <w:sz w:val="16"/>
              </w:rPr>
              <w:t>y Ciencias Agrarias</w:t>
            </w:r>
            <w:r>
              <w:rPr>
                <w:rFonts w:ascii="Times New Roman" w:hAnsi="Times New Roman" w:cs="Times New Roman"/>
                <w:bCs/>
                <w:sz w:val="16"/>
              </w:rPr>
              <w:t xml:space="preserve"> </w:t>
            </w:r>
          </w:p>
          <w:p w14:paraId="5F43A3E3" w14:textId="77777777" w:rsidR="004E2A32" w:rsidRPr="0021487A" w:rsidRDefault="004E2A32" w:rsidP="00107DEC">
            <w:pPr>
              <w:spacing w:line="276" w:lineRule="auto"/>
              <w:ind w:left="111" w:right="-107" w:firstLine="321"/>
              <w:jc w:val="both"/>
              <w:rPr>
                <w:rFonts w:ascii="Times New Roman" w:hAnsi="Times New Roman" w:cs="Times New Roman"/>
                <w:bCs/>
                <w:sz w:val="16"/>
              </w:rPr>
            </w:pPr>
            <w:r w:rsidRPr="0021487A">
              <w:rPr>
                <w:rFonts w:ascii="Times New Roman" w:hAnsi="Times New Roman" w:cs="Times New Roman"/>
                <w:bCs/>
                <w:sz w:val="16"/>
                <w:vertAlign w:val="superscript"/>
              </w:rPr>
              <w:t>1</w:t>
            </w:r>
            <w:r>
              <w:rPr>
                <w:rFonts w:ascii="Times New Roman" w:hAnsi="Times New Roman" w:cs="Times New Roman"/>
                <w:bCs/>
                <w:sz w:val="16"/>
                <w:vertAlign w:val="superscript"/>
              </w:rPr>
              <w:t xml:space="preserve"> </w:t>
            </w:r>
            <w:r>
              <w:rPr>
                <w:rFonts w:ascii="Times New Roman" w:hAnsi="Times New Roman" w:cs="Times New Roman"/>
                <w:bCs/>
                <w:sz w:val="16"/>
              </w:rPr>
              <w:t>E</w:t>
            </w:r>
            <w:r w:rsidRPr="00925877">
              <w:rPr>
                <w:rFonts w:ascii="Times New Roman" w:hAnsi="Times New Roman" w:cs="Times New Roman"/>
                <w:bCs/>
                <w:sz w:val="16"/>
              </w:rPr>
              <w:t xml:space="preserve">scuela profesional de </w:t>
            </w:r>
            <w:r>
              <w:rPr>
                <w:rFonts w:ascii="Times New Roman" w:hAnsi="Times New Roman" w:cs="Times New Roman"/>
                <w:bCs/>
                <w:sz w:val="16"/>
              </w:rPr>
              <w:t>I</w:t>
            </w:r>
            <w:r w:rsidRPr="00925877">
              <w:rPr>
                <w:rFonts w:ascii="Times New Roman" w:hAnsi="Times New Roman" w:cs="Times New Roman"/>
                <w:bCs/>
                <w:sz w:val="16"/>
              </w:rPr>
              <w:t xml:space="preserve">ngeniería </w:t>
            </w:r>
            <w:r w:rsidR="00107DEC">
              <w:rPr>
                <w:rFonts w:ascii="Times New Roman" w:hAnsi="Times New Roman" w:cs="Times New Roman"/>
                <w:bCs/>
                <w:sz w:val="16"/>
              </w:rPr>
              <w:t>Agrónoma</w:t>
            </w:r>
          </w:p>
          <w:p w14:paraId="40F3160E" w14:textId="77777777" w:rsidR="004E2A32" w:rsidRPr="0021487A" w:rsidRDefault="004E2A32" w:rsidP="00550C55">
            <w:pPr>
              <w:spacing w:line="276" w:lineRule="auto"/>
              <w:ind w:right="-107" w:firstLine="107"/>
              <w:rPr>
                <w:rFonts w:ascii="Times New Roman" w:hAnsi="Times New Roman" w:cs="Times New Roman"/>
                <w:bCs/>
                <w:sz w:val="18"/>
              </w:rPr>
            </w:pPr>
          </w:p>
        </w:tc>
      </w:tr>
    </w:tbl>
    <w:p w14:paraId="055D0007" w14:textId="77777777" w:rsidR="004E2A32" w:rsidRPr="004E2A32" w:rsidRDefault="004E2A32" w:rsidP="004E2A32">
      <w:pPr>
        <w:spacing w:line="360" w:lineRule="auto"/>
        <w:jc w:val="right"/>
        <w:rPr>
          <w:rFonts w:ascii="Times New Roman" w:hAnsi="Times New Roman" w:cs="Times New Roman"/>
          <w:b/>
          <w:sz w:val="24"/>
        </w:rPr>
      </w:pPr>
      <w:r w:rsidRPr="004E2A32">
        <w:rPr>
          <w:rFonts w:ascii="Times New Roman" w:hAnsi="Times New Roman" w:cs="Times New Roman"/>
          <w:b/>
          <w:sz w:val="24"/>
        </w:rPr>
        <w:t>Análisis molecular de hongos patógenos en guayaba: Una aproximación metodológica para la identificación de especies</w:t>
      </w:r>
    </w:p>
    <w:p w14:paraId="5BD6B826" w14:textId="77777777" w:rsidR="004E2A32" w:rsidRPr="004E2A32" w:rsidRDefault="00726983" w:rsidP="004E2A32">
      <w:pPr>
        <w:spacing w:line="360" w:lineRule="auto"/>
        <w:jc w:val="right"/>
        <w:rPr>
          <w:rFonts w:ascii="Times New Roman" w:hAnsi="Times New Roman" w:cs="Times New Roman"/>
          <w:b/>
          <w:sz w:val="24"/>
          <w:lang w:val="en-US"/>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14:anchorId="57A842A4" wp14:editId="6D1176B3">
                <wp:simplePos x="0" y="0"/>
                <wp:positionH relativeFrom="column">
                  <wp:posOffset>30208</wp:posOffset>
                </wp:positionH>
                <wp:positionV relativeFrom="paragraph">
                  <wp:posOffset>610235</wp:posOffset>
                </wp:positionV>
                <wp:extent cx="5399314"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5399314"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w16sdtfl="http://schemas.microsoft.com/office/word/2024/wordml/sdtformatlock">
            <w:pict>
              <v:line w14:anchorId="7E997ECA"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48.05pt" to="427.5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TycyQEAAPMDAAAOAAAAZHJzL2Uyb0RvYy54bWysU8GO0zAQvSPxD5bvNEkXEBs13UNXywVB&#10;BcsHeB27sbA91tg06d8zdtp0BQghxGXssee9mTceb+4mZ9lRYTTgO96sas6Ul9Abf+j418eHV+84&#10;i0n4XljwquMnFfnd9uWLzRhatYYBbK+QEYmP7Rg6PqQU2qqKclBOxBUE5elSAzqRyMVD1aMYid3Z&#10;al3Xb6sRsA8IUsVIp/fzJd8Wfq2VTJ+0jiox23GqLRWLxT5lW203oj2gCIOR5zLEP1ThhPGUdKG6&#10;F0mw72h+oXJGIkTQaSXBVaC1kapoIDVN/ZOaL4MIqmih5sSwtCn+P1r58bhHZvqOrznzwtET7eih&#10;ZAJkmBe2zj0aQ2wpdOf3ePZi2GMWPGl0eSUpbCp9PS19VVNikg7f3Nze3jSvOZOXu+oKDBjTewWO&#10;5U3HrfFZsmjF8UNMlIxCLyH52PpsI1jTPxhri5OHRe0ssqOgZ05Tk0sm3LMo8jKyykLm0ssunaya&#10;WT8rTW2gYpuSvQzglbP/duG0niIzRFP2BVT/GXSOzTBVhvJvgUt0yQg+LUBnPODvsl7l6zn+onrW&#10;mmU/QX8qD1naQZNVunX+BXl0n/sFfv2r2x8AAAD//wMAUEsDBBQABgAIAAAAIQB6KVS63QAAAAcB&#10;AAAPAAAAZHJzL2Rvd25yZXYueG1sTI5BS8NAEIXvgv9hGcGL2E3VhBqzKRLoxYNgI8XjNjvNBrOz&#10;Ibtt0n/viId6mzfv8d5XrGfXixOOofOkYLlIQCA13nTUKvisN/crECFqMrr3hArOGGBdXl8VOjd+&#10;og88bWMruIRCrhXYGIdcytBYdDos/IDE3sGPTkeWYyvNqCcud718SJJMOt0RL1g9YGWx+d4enYKv&#10;9u5xs6upnqr4fsjsfN69pZVStzfz6wuIiHO8hOEXn9GhZKa9P5IJolfwxOBRwXO2BMH2Kk352P89&#10;ZFnI//zlDwAAAP//AwBQSwECLQAUAAYACAAAACEAtoM4kv4AAADhAQAAEwAAAAAAAAAAAAAAAAAA&#10;AAAAW0NvbnRlbnRfVHlwZXNdLnhtbFBLAQItABQABgAIAAAAIQA4/SH/1gAAAJQBAAALAAAAAAAA&#10;AAAAAAAAAC8BAABfcmVscy8ucmVsc1BLAQItABQABgAIAAAAIQAzLTycyQEAAPMDAAAOAAAAAAAA&#10;AAAAAAAAAC4CAABkcnMvZTJvRG9jLnhtbFBLAQItABQABgAIAAAAIQB6KVS63QAAAAcBAAAPAAAA&#10;AAAAAAAAAAAAACMEAABkcnMvZG93bnJldi54bWxQSwUGAAAAAAQABADzAAAALQUAAAAA&#10;" strokecolor="black [3213]" strokeweight=".5pt">
                <v:stroke joinstyle="miter"/>
              </v:line>
            </w:pict>
          </mc:Fallback>
        </mc:AlternateContent>
      </w:r>
      <w:r w:rsidR="004E2A32" w:rsidRPr="00726983">
        <w:rPr>
          <w:rFonts w:ascii="Times New Roman" w:hAnsi="Times New Roman" w:cs="Times New Roman"/>
          <w:b/>
          <w:sz w:val="24"/>
          <w:lang w:val="en-US"/>
        </w:rPr>
        <w:t>Molecular analysis of pathogenic fungi in guava: A methodological approach for species identification</w:t>
      </w:r>
    </w:p>
    <w:p w14:paraId="57637F11" w14:textId="63F1FB7D" w:rsidR="004E2A32" w:rsidRPr="004E2A32" w:rsidRDefault="004E2A32" w:rsidP="004E2A32">
      <w:pPr>
        <w:shd w:val="clear" w:color="auto" w:fill="FFFFFF"/>
        <w:spacing w:before="274" w:after="206" w:line="360" w:lineRule="auto"/>
        <w:outlineLvl w:val="2"/>
        <w:rPr>
          <w:rFonts w:ascii="Times New Roman" w:eastAsia="Times New Roman" w:hAnsi="Times New Roman" w:cs="Times New Roman"/>
          <w:sz w:val="24"/>
          <w:szCs w:val="24"/>
          <w:lang w:eastAsia="es-PE"/>
        </w:rPr>
      </w:pPr>
      <w:r w:rsidRPr="004E2A32">
        <w:rPr>
          <w:rFonts w:ascii="Times New Roman" w:eastAsia="Times New Roman" w:hAnsi="Times New Roman" w:cs="Times New Roman"/>
          <w:b/>
          <w:bCs/>
          <w:sz w:val="24"/>
          <w:szCs w:val="24"/>
          <w:lang w:eastAsia="es-PE"/>
        </w:rPr>
        <w:t>R</w:t>
      </w:r>
      <w:r w:rsidR="00375B7C">
        <w:rPr>
          <w:rFonts w:ascii="Times New Roman" w:eastAsia="Times New Roman" w:hAnsi="Times New Roman" w:cs="Times New Roman"/>
          <w:b/>
          <w:bCs/>
          <w:sz w:val="24"/>
          <w:szCs w:val="24"/>
          <w:lang w:eastAsia="es-PE"/>
        </w:rPr>
        <w:t>ESUMEN</w:t>
      </w:r>
    </w:p>
    <w:p w14:paraId="1F0E9348" w14:textId="74C44C5F" w:rsidR="00701BC5" w:rsidRDefault="004E2A32" w:rsidP="004E2A32">
      <w:pPr>
        <w:shd w:val="clear" w:color="auto" w:fill="FFFFFF"/>
        <w:spacing w:before="206" w:after="206" w:line="360" w:lineRule="auto"/>
        <w:jc w:val="both"/>
        <w:rPr>
          <w:rFonts w:ascii="Times New Roman" w:eastAsia="Times New Roman" w:hAnsi="Times New Roman" w:cs="Times New Roman"/>
          <w:sz w:val="24"/>
          <w:szCs w:val="24"/>
          <w:lang w:eastAsia="es-PE"/>
        </w:rPr>
      </w:pPr>
      <w:r w:rsidRPr="004E2A32">
        <w:rPr>
          <w:rFonts w:ascii="Times New Roman" w:eastAsia="Times New Roman" w:hAnsi="Times New Roman" w:cs="Times New Roman"/>
          <w:sz w:val="24"/>
          <w:szCs w:val="24"/>
          <w:lang w:eastAsia="es-PE"/>
        </w:rPr>
        <w:t>La guayaba es un cultivo de alto valor económico afectado por enfermedades fúngicas (</w:t>
      </w:r>
      <w:r w:rsidRPr="004E2A32">
        <w:rPr>
          <w:rFonts w:ascii="Times New Roman" w:eastAsia="Times New Roman" w:hAnsi="Times New Roman" w:cs="Times New Roman"/>
          <w:i/>
          <w:iCs/>
          <w:sz w:val="24"/>
          <w:szCs w:val="24"/>
          <w:lang w:eastAsia="es-PE"/>
        </w:rPr>
        <w:t>Colletotrichum</w:t>
      </w:r>
      <w:r w:rsidRPr="004E2A32">
        <w:rPr>
          <w:rFonts w:ascii="Times New Roman" w:eastAsia="Times New Roman" w:hAnsi="Times New Roman" w:cs="Times New Roman"/>
          <w:sz w:val="24"/>
          <w:szCs w:val="24"/>
          <w:lang w:eastAsia="es-PE"/>
        </w:rPr>
        <w:t>, </w:t>
      </w:r>
      <w:r w:rsidRPr="004E2A32">
        <w:rPr>
          <w:rFonts w:ascii="Times New Roman" w:eastAsia="Times New Roman" w:hAnsi="Times New Roman" w:cs="Times New Roman"/>
          <w:i/>
          <w:iCs/>
          <w:sz w:val="24"/>
          <w:szCs w:val="24"/>
          <w:lang w:eastAsia="es-PE"/>
        </w:rPr>
        <w:t>Fusarium</w:t>
      </w:r>
      <w:r w:rsidRPr="004E2A32">
        <w:rPr>
          <w:rFonts w:ascii="Times New Roman" w:eastAsia="Times New Roman" w:hAnsi="Times New Roman" w:cs="Times New Roman"/>
          <w:sz w:val="24"/>
          <w:szCs w:val="24"/>
          <w:lang w:eastAsia="es-PE"/>
        </w:rPr>
        <w:t>, </w:t>
      </w:r>
      <w:r w:rsidRPr="004E2A32">
        <w:rPr>
          <w:rFonts w:ascii="Times New Roman" w:eastAsia="Times New Roman" w:hAnsi="Times New Roman" w:cs="Times New Roman"/>
          <w:i/>
          <w:iCs/>
          <w:sz w:val="24"/>
          <w:szCs w:val="24"/>
          <w:lang w:eastAsia="es-PE"/>
        </w:rPr>
        <w:t>Phytophthora</w:t>
      </w:r>
      <w:r w:rsidRPr="004E2A32">
        <w:rPr>
          <w:rFonts w:ascii="Times New Roman" w:eastAsia="Times New Roman" w:hAnsi="Times New Roman" w:cs="Times New Roman"/>
          <w:sz w:val="24"/>
          <w:szCs w:val="24"/>
          <w:lang w:eastAsia="es-PE"/>
        </w:rPr>
        <w:t>) que causan pérdidas hasta del 40%. La identificación morfológica tradicional presenta limitaciones para detectar especies</w:t>
      </w:r>
      <w:r w:rsidR="000F775F">
        <w:rPr>
          <w:rFonts w:ascii="Times New Roman" w:eastAsia="Times New Roman" w:hAnsi="Times New Roman" w:cs="Times New Roman"/>
          <w:sz w:val="24"/>
          <w:szCs w:val="24"/>
          <w:lang w:eastAsia="es-PE"/>
        </w:rPr>
        <w:t xml:space="preserve"> específicas. Se d</w:t>
      </w:r>
      <w:r w:rsidRPr="004E2A32">
        <w:rPr>
          <w:rFonts w:ascii="Times New Roman" w:eastAsia="Times New Roman" w:hAnsi="Times New Roman" w:cs="Times New Roman"/>
          <w:sz w:val="24"/>
          <w:szCs w:val="24"/>
          <w:lang w:eastAsia="es-PE"/>
        </w:rPr>
        <w:t>esarroll</w:t>
      </w:r>
      <w:r w:rsidR="000F775F">
        <w:rPr>
          <w:rFonts w:ascii="Times New Roman" w:eastAsia="Times New Roman" w:hAnsi="Times New Roman" w:cs="Times New Roman"/>
          <w:sz w:val="24"/>
          <w:szCs w:val="24"/>
          <w:lang w:eastAsia="es-PE"/>
        </w:rPr>
        <w:t>ó</w:t>
      </w:r>
      <w:r w:rsidRPr="004E2A32">
        <w:rPr>
          <w:rFonts w:ascii="Times New Roman" w:eastAsia="Times New Roman" w:hAnsi="Times New Roman" w:cs="Times New Roman"/>
          <w:sz w:val="24"/>
          <w:szCs w:val="24"/>
          <w:lang w:eastAsia="es-PE"/>
        </w:rPr>
        <w:t xml:space="preserve"> una metodología molecular estandarizada para identificación precisa de patógenos en guayaba</w:t>
      </w:r>
      <w:r w:rsidR="000F775F">
        <w:rPr>
          <w:rFonts w:ascii="Times New Roman" w:eastAsia="Times New Roman" w:hAnsi="Times New Roman" w:cs="Times New Roman"/>
          <w:sz w:val="24"/>
          <w:szCs w:val="24"/>
          <w:lang w:eastAsia="es-PE"/>
        </w:rPr>
        <w:t xml:space="preserve"> donde se procedió a </w:t>
      </w:r>
      <w:r w:rsidRPr="004E2A32">
        <w:rPr>
          <w:rFonts w:ascii="Times New Roman" w:eastAsia="Times New Roman" w:hAnsi="Times New Roman" w:cs="Times New Roman"/>
          <w:sz w:val="24"/>
          <w:szCs w:val="24"/>
          <w:lang w:eastAsia="es-PE"/>
        </w:rPr>
        <w:t>aislar</w:t>
      </w:r>
      <w:r w:rsidR="000F775F">
        <w:rPr>
          <w:rFonts w:ascii="Times New Roman" w:eastAsia="Times New Roman" w:hAnsi="Times New Roman" w:cs="Times New Roman"/>
          <w:sz w:val="24"/>
          <w:szCs w:val="24"/>
          <w:lang w:eastAsia="es-PE"/>
        </w:rPr>
        <w:t xml:space="preserve"> los</w:t>
      </w:r>
      <w:r w:rsidRPr="004E2A32">
        <w:rPr>
          <w:rFonts w:ascii="Times New Roman" w:eastAsia="Times New Roman" w:hAnsi="Times New Roman" w:cs="Times New Roman"/>
          <w:sz w:val="24"/>
          <w:szCs w:val="24"/>
          <w:lang w:eastAsia="es-PE"/>
        </w:rPr>
        <w:t xml:space="preserve"> hongos de tejidos sintomáticos usando PDA, se extrajo ADN (kit Wizard® Promega), y se amplificaron marcadores ITS, β-tubulina y TEF-1α mediante PCR. Las secuencias se analizaron con BLASTn y filogenia (MEGA7)</w:t>
      </w:r>
      <w:r w:rsidR="000F775F">
        <w:rPr>
          <w:rFonts w:ascii="Times New Roman" w:eastAsia="Times New Roman" w:hAnsi="Times New Roman" w:cs="Times New Roman"/>
          <w:sz w:val="24"/>
          <w:szCs w:val="24"/>
          <w:lang w:eastAsia="es-PE"/>
        </w:rPr>
        <w:t xml:space="preserve"> para posteriormente realizar la identificación taxonómica y árboles filogenéticos.</w:t>
      </w:r>
    </w:p>
    <w:p w14:paraId="0D34FE69" w14:textId="3451804D" w:rsidR="004E2A32" w:rsidRPr="004E2A32" w:rsidRDefault="00701BC5" w:rsidP="004E2A32">
      <w:pPr>
        <w:shd w:val="clear" w:color="auto" w:fill="FFFFFF"/>
        <w:spacing w:before="206" w:after="206" w:line="360" w:lineRule="auto"/>
        <w:jc w:val="both"/>
        <w:rPr>
          <w:rFonts w:ascii="Times New Roman" w:eastAsia="Times New Roman" w:hAnsi="Times New Roman" w:cs="Times New Roman"/>
          <w:sz w:val="24"/>
          <w:szCs w:val="24"/>
          <w:lang w:eastAsia="es-PE"/>
        </w:rPr>
      </w:pPr>
      <w:r w:rsidRPr="004E2A32">
        <w:rPr>
          <w:rFonts w:ascii="Times New Roman" w:eastAsia="Times New Roman" w:hAnsi="Times New Roman" w:cs="Times New Roman"/>
          <w:sz w:val="24"/>
          <w:szCs w:val="24"/>
          <w:lang w:eastAsia="es-PE"/>
        </w:rPr>
        <w:t xml:space="preserve"> </w:t>
      </w:r>
      <w:r w:rsidR="004E2A32" w:rsidRPr="004E2A32">
        <w:rPr>
          <w:rFonts w:ascii="Times New Roman" w:eastAsia="Times New Roman" w:hAnsi="Times New Roman" w:cs="Times New Roman"/>
          <w:b/>
          <w:bCs/>
          <w:sz w:val="24"/>
          <w:szCs w:val="24"/>
          <w:lang w:eastAsia="es-PE"/>
        </w:rPr>
        <w:t>Palabras clave:</w:t>
      </w:r>
      <w:r w:rsidR="004E2A32" w:rsidRPr="004E2A32">
        <w:rPr>
          <w:rFonts w:ascii="Times New Roman" w:eastAsia="Times New Roman" w:hAnsi="Times New Roman" w:cs="Times New Roman"/>
          <w:sz w:val="24"/>
          <w:szCs w:val="24"/>
          <w:lang w:eastAsia="es-PE"/>
        </w:rPr>
        <w:t> </w:t>
      </w:r>
      <w:r w:rsidR="00EE27CE">
        <w:rPr>
          <w:rFonts w:ascii="Times New Roman" w:eastAsia="Times New Roman" w:hAnsi="Times New Roman" w:cs="Times New Roman"/>
          <w:sz w:val="24"/>
          <w:szCs w:val="24"/>
          <w:lang w:eastAsia="es-PE"/>
        </w:rPr>
        <w:t>C</w:t>
      </w:r>
      <w:r w:rsidR="00E6361A" w:rsidRPr="004E2A32">
        <w:rPr>
          <w:rFonts w:ascii="Times New Roman" w:eastAsia="Times New Roman" w:hAnsi="Times New Roman" w:cs="Times New Roman"/>
          <w:sz w:val="24"/>
          <w:szCs w:val="24"/>
          <w:lang w:eastAsia="es-PE"/>
        </w:rPr>
        <w:t>ontrol de enfermedades</w:t>
      </w:r>
      <w:r w:rsidR="004E2A32" w:rsidRPr="004E2A32">
        <w:rPr>
          <w:rFonts w:ascii="Times New Roman" w:eastAsia="Times New Roman" w:hAnsi="Times New Roman" w:cs="Times New Roman"/>
          <w:sz w:val="24"/>
          <w:szCs w:val="24"/>
          <w:lang w:eastAsia="es-PE"/>
        </w:rPr>
        <w:t>, hongos fitopatógenos,</w:t>
      </w:r>
      <w:r w:rsidR="00E6361A">
        <w:rPr>
          <w:rFonts w:ascii="Times New Roman" w:eastAsia="Times New Roman" w:hAnsi="Times New Roman" w:cs="Times New Roman"/>
          <w:sz w:val="24"/>
          <w:szCs w:val="24"/>
          <w:lang w:eastAsia="es-PE"/>
        </w:rPr>
        <w:t xml:space="preserve"> </w:t>
      </w:r>
      <w:r w:rsidR="00E6361A" w:rsidRPr="004E2A32">
        <w:rPr>
          <w:rFonts w:ascii="Times New Roman" w:eastAsia="Times New Roman" w:hAnsi="Times New Roman" w:cs="Times New Roman"/>
          <w:sz w:val="24"/>
          <w:szCs w:val="24"/>
          <w:lang w:eastAsia="es-PE"/>
        </w:rPr>
        <w:t>identificación molecular</w:t>
      </w:r>
      <w:r w:rsidR="00E6361A">
        <w:rPr>
          <w:rFonts w:ascii="Times New Roman" w:eastAsia="Times New Roman" w:hAnsi="Times New Roman" w:cs="Times New Roman"/>
          <w:sz w:val="24"/>
          <w:szCs w:val="24"/>
          <w:lang w:eastAsia="es-PE"/>
        </w:rPr>
        <w:t>,</w:t>
      </w:r>
      <w:r w:rsidR="00E6361A">
        <w:rPr>
          <w:rFonts w:ascii="Times New Roman" w:eastAsia="Times New Roman" w:hAnsi="Times New Roman" w:cs="Times New Roman"/>
          <w:i/>
          <w:iCs/>
          <w:sz w:val="24"/>
          <w:szCs w:val="24"/>
          <w:lang w:eastAsia="es-PE"/>
        </w:rPr>
        <w:t xml:space="preserve"> </w:t>
      </w:r>
      <w:r w:rsidR="00E6361A" w:rsidRPr="004E2A32">
        <w:rPr>
          <w:rFonts w:ascii="Times New Roman" w:eastAsia="Times New Roman" w:hAnsi="Times New Roman" w:cs="Times New Roman"/>
          <w:i/>
          <w:iCs/>
          <w:sz w:val="24"/>
          <w:szCs w:val="24"/>
          <w:lang w:eastAsia="es-PE"/>
        </w:rPr>
        <w:t>Psidium guajava</w:t>
      </w:r>
      <w:r w:rsidR="00DF0FB6">
        <w:rPr>
          <w:rFonts w:ascii="Times New Roman" w:eastAsia="Times New Roman" w:hAnsi="Times New Roman" w:cs="Times New Roman"/>
          <w:sz w:val="24"/>
          <w:szCs w:val="24"/>
          <w:lang w:eastAsia="es-PE"/>
        </w:rPr>
        <w:t>.</w:t>
      </w:r>
    </w:p>
    <w:p w14:paraId="4510C009" w14:textId="77777777" w:rsidR="00BC3A2A" w:rsidRDefault="00BC3A2A" w:rsidP="004E2A32">
      <w:pPr>
        <w:shd w:val="clear" w:color="auto" w:fill="FFFFFF"/>
        <w:spacing w:before="274" w:after="206" w:line="360" w:lineRule="auto"/>
        <w:outlineLvl w:val="2"/>
        <w:rPr>
          <w:rFonts w:ascii="Times New Roman" w:eastAsia="Times New Roman" w:hAnsi="Times New Roman" w:cs="Times New Roman"/>
          <w:b/>
          <w:bCs/>
          <w:sz w:val="24"/>
          <w:szCs w:val="24"/>
          <w:lang w:eastAsia="es-PE"/>
        </w:rPr>
        <w:sectPr w:rsidR="00BC3A2A">
          <w:pgSz w:w="11906" w:h="16838"/>
          <w:pgMar w:top="1417" w:right="1701" w:bottom="1417" w:left="1701" w:header="708" w:footer="708" w:gutter="0"/>
          <w:cols w:space="708"/>
          <w:docGrid w:linePitch="360"/>
        </w:sectPr>
      </w:pPr>
    </w:p>
    <w:p w14:paraId="2EA3F475" w14:textId="03B8708E" w:rsidR="004E2A32" w:rsidRPr="004E2A32" w:rsidRDefault="00AE18FF" w:rsidP="004E2A32">
      <w:pPr>
        <w:shd w:val="clear" w:color="auto" w:fill="FFFFFF"/>
        <w:spacing w:before="274" w:after="206" w:line="360" w:lineRule="auto"/>
        <w:outlineLvl w:val="2"/>
        <w:rPr>
          <w:rFonts w:ascii="Times New Roman" w:eastAsia="Times New Roman" w:hAnsi="Times New Roman" w:cs="Times New Roman"/>
          <w:sz w:val="24"/>
          <w:szCs w:val="24"/>
          <w:lang w:eastAsia="es-PE"/>
        </w:rPr>
      </w:pPr>
      <w:r w:rsidRPr="004E2A32">
        <w:rPr>
          <w:rFonts w:ascii="Times New Roman" w:eastAsia="Times New Roman" w:hAnsi="Times New Roman" w:cs="Times New Roman"/>
          <w:b/>
          <w:bCs/>
          <w:sz w:val="24"/>
          <w:szCs w:val="24"/>
          <w:lang w:eastAsia="es-PE"/>
        </w:rPr>
        <w:t>INTRODUCCIÓN</w:t>
      </w:r>
    </w:p>
    <w:p w14:paraId="33CD3133" w14:textId="56C0D37F" w:rsidR="00FA3DA1" w:rsidRPr="007D3578" w:rsidRDefault="00DF0FB6" w:rsidP="00804ADE">
      <w:pPr>
        <w:pStyle w:val="ds-markdown-paragraph"/>
        <w:shd w:val="clear" w:color="auto" w:fill="FFFFFF"/>
        <w:spacing w:before="206" w:beforeAutospacing="0" w:after="206" w:afterAutospacing="0" w:line="360" w:lineRule="auto"/>
        <w:ind w:firstLine="708"/>
        <w:jc w:val="both"/>
        <w:rPr>
          <w:bCs/>
        </w:rPr>
      </w:pPr>
      <w:r w:rsidRPr="007D3578">
        <w:t>La guayaba (</w:t>
      </w:r>
      <w:r w:rsidRPr="007D3578">
        <w:rPr>
          <w:rStyle w:val="nfasis"/>
        </w:rPr>
        <w:t>Psidium guajava</w:t>
      </w:r>
      <w:r w:rsidRPr="007D3578">
        <w:t xml:space="preserve"> L.) es un cultivo de importancia económica en regiones tropicales y subtropicales, valorado por su alto contenido nutricional y su demanda en mercados locales e internacionales </w:t>
      </w:r>
      <w:r w:rsidRPr="007D3578">
        <w:fldChar w:fldCharType="begin"/>
      </w:r>
      <w:r w:rsidRPr="007D3578">
        <w:instrText xml:space="preserve"> ADDIN ZOTERO_ITEM CSL_CITATION {"citationID":"pj7Gw1LZ","properties":{"formattedCitation":"(FAO, 2022)","plainCitation":"(FAO, 2022)","noteIndex":0},"citationItems":[{"id":5,"uris":["http://zotero.org/users/local/RfV89UPq/items/ECNFXFYM"],"itemData":{"id":5,"type":"book","abstract":"La automatización ha ido conformando la agricultura mundial desde comienzos del siglo XX. La mecanización motorizada ha producido importantes beneficios en lo relativo a la mejora de la productividad, la reducción del trabajo pesado y una asignación más eficiente de la mano de obra, pero también ha ocasionado algunos impactos ambientales negativos. Más recientemente, ha aparecido una nueva generación de tecnologías de automatización digital de la agricultura que ofrece posibilidades de mejorar aún más la productividad, así como la resiliencia, abordando al mismo tiempo los problemas relacionados con la sostenibilidad ambiental causadas por la mecanización en el pasado.En El estado mundial de la agricultura y la alimentación 2022 se examinan los factores determinantes de la automatización agrícola, incluidas las tecnologías digitales más recientes. Sobre la base de 27 estudios de casos, en el informe se analizan los argumentos a favor de la adopción de tecnologías de automatización digital en diferentes sistemas de producción agrícola de todo el mundo. Se señalan varios obstáculos que impiden la adopción inclusiva de estas tecnologías, especialmente por los pequeños productores. Los obstáculos principales son el bajo nivel de alfabetización digital y la falta de infraestructura de apoyo, como conectividad y acceso a la electricidad, junto con limitaciones financieras. Basándose en este análisis, en la publicación se proponen políticas para conseguir que los grupos desfavorecidos de las regiones en desarrollo puedan beneficiarse de la automatización agrícola y que la automatización contribuya a crear sistemas agroalimentarios sostenibles y resilientes.","ISBN":"978-92-5-137020-9","language":"Spanish","note":"ISSN: 0251-1371","publisher":"FAO ;","source":"openknowledge.fao.org","title":"El estado mundial de la agricultura y la alimentación 2022","URL":"https://openknowledge.fao.org/handle/20.500.14283/cb9479es","author":[{"family":"FAO","given":""}],"accessed":{"date-parts":[["2025",5,28]]},"issued":{"date-parts":[["2022"]]}}}],"schema":"https://github.com/citation-style-language/schema/raw/master/csl-citation.json"} </w:instrText>
      </w:r>
      <w:r w:rsidRPr="007D3578">
        <w:fldChar w:fldCharType="separate"/>
      </w:r>
      <w:r w:rsidRPr="007D3578">
        <w:t>(FAO, 2022)</w:t>
      </w:r>
      <w:r w:rsidRPr="007D3578">
        <w:fldChar w:fldCharType="end"/>
      </w:r>
      <w:r w:rsidRPr="007D3578">
        <w:t>. Sin embargo, su producción se ve afectada por enfermedades fúngicas que reducen el rendimiento y la calidad del fruto. Entre los principales patógenos se encuentran especies de los géneros </w:t>
      </w:r>
      <w:r w:rsidRPr="007D3578">
        <w:rPr>
          <w:rStyle w:val="nfasis"/>
        </w:rPr>
        <w:t>Colletotrichum</w:t>
      </w:r>
      <w:r w:rsidRPr="007D3578">
        <w:t>, </w:t>
      </w:r>
      <w:r w:rsidRPr="007D3578">
        <w:rPr>
          <w:rStyle w:val="nfasis"/>
        </w:rPr>
        <w:t>Fusarium</w:t>
      </w:r>
      <w:r w:rsidRPr="007D3578">
        <w:t> y </w:t>
      </w:r>
      <w:r w:rsidRPr="007D3578">
        <w:rPr>
          <w:rStyle w:val="nfasis"/>
        </w:rPr>
        <w:t>Phytophthora</w:t>
      </w:r>
      <w:r w:rsidRPr="007D3578">
        <w:t xml:space="preserve">, cuyas infecciones generan pérdidas económicas significativas </w:t>
      </w:r>
      <w:r w:rsidRPr="007D3578">
        <w:fldChar w:fldCharType="begin"/>
      </w:r>
      <w:r w:rsidRPr="007D3578">
        <w:instrText xml:space="preserve"> ADDIN ZOTERO_ITEM CSL_CITATION {"citationID":"k1LDo2Tr","properties":{"formattedCitation":"(Qui\\uc0\\u241{}ones-Aguilar et\\uc0\\u160{}al., 2020)","plainCitation":"(Quiñones-Aguilar et al., 2020)","noteIndex":0},"citationItems":[{"id":18,"uris":["http://zotero.org/users/local/RfV89UPq/items/ZATC4LV3"],"itemData":{"id":18,"type":"article-journal","container-title":"Terra Latinoamericana","DOI":"10.28940/terra.v38i3.646","ISSN":"0187-5779","issue":"3","language":"es","note":"publisher: Sociedad Mexicana de la Ciencia del Suelo A.C.","page":"541-554","source":"SciELO","title":"Hongos micorrízicos nativos como promotores de crecimiento en plantas de guayaba (Psidium guajava L.)","volume":"38","author":[{"family":"Quiñones-Aguilar","given":"Evangelina Esmeralda"},{"family":"Rincón-Enríquez","given":"Gabriel"},{"family":"López-Pérez","given":"Luis"},{"family":"Quiñones-Aguilar","given":"Evangelina Esmeralda"},{"family":"Rincón-Enríquez","given":"Gabriel"},{"family":"López-Pérez","given":"Luis"}],"issued":{"date-parts":[["2020",9]]}}}],"schema":"https://github.com/citation-style-language/schema/raw/master/csl-citation.json"} </w:instrText>
      </w:r>
      <w:r w:rsidRPr="007D3578">
        <w:fldChar w:fldCharType="separate"/>
      </w:r>
      <w:r w:rsidRPr="007D3578">
        <w:t>(Quiñones-Aguilar et al., 2020)</w:t>
      </w:r>
      <w:r w:rsidRPr="007D3578">
        <w:fldChar w:fldCharType="end"/>
      </w:r>
      <w:r w:rsidR="00804ADE" w:rsidRPr="007D3578">
        <w:t xml:space="preserve"> </w:t>
      </w:r>
      <w:r w:rsidRPr="007D3578">
        <w:t xml:space="preserve">La identificación tradicional de hongos patógenos, basada en características morfológicas, presenta limitaciones en precisión debido a la variabilidad fenotípica y la posible coexistencia de especies crípticas </w:t>
      </w:r>
      <w:r w:rsidRPr="007D3578">
        <w:fldChar w:fldCharType="begin"/>
      </w:r>
      <w:r w:rsidRPr="007D3578">
        <w:instrText xml:space="preserve"> ADDIN ZOTERO_ITEM CSL_CITATION {"citationID":"qkCpSKrq","properties":{"formattedCitation":"(Hyde et\\uc0\\u160{}al., 2019)","plainCitation":"(Hyde et al., 2019)","noteIndex":0},"citationItems":[{"id":10,"uris":["http://zotero.org/users/local/RfV89UPq/items/EUQ98Z2R"],"itemData":{"id":10,"type":"article-journal","abstract":"(2019) Hyde et al. Fungal Diversity. Fungi are an understudied, biotechnologically valuable group of organisms. Due to the immense range of habitats that fungi inhabit, and the consequent need to c...","container-title":"Fungal Diversity","DOI":"10.1007/s13225-019-00430-9","ISSN":"18789129","issue":"1","language":"en-GB","note":"number: 1","page":"undefined-undefined","source":"www.mendeley.com","title":"The amazing potential of fungi: 50 ways we can exploit fungi industrially","title-short":"The amazing potential of fungi","volume":"97","author":[{"family":"Hyde","given":"Kevin D."},{"family":"Xu","given":"Jianchu"},{"family":"Rapior","given":"Sylvie"},{"family":"Jeewon","given":"Rajesh"},{"family":"Lumyong","given":"Saisamorn"},{"family":"Niego","given":"Allen Grace T."},{"family":"Abeywickrama","given":"Pranami D."},{"family":"Aluthmuhandiram","given":"Janith V. S."},{"family":"Brahamanage","given":"Rashika S."},{"family":"Brooks","given":"Siraprapa"},{"family":"Chaiyasen","given":"Amornrat"},{"family":"Chethana","given":"K. W. Thilini"},{"family":"Chomnunti","given":"Putarak"},{"family":"Chepkirui","given":"Clara"},{"family":"Chuankid","given":"Boontiya"},{"family":"Silva","given":"Nimali I.","dropping-particle":"de"},{"family":"Doilom","given":"Mingkwan"},{"family":"Faulds","given":"Craig"},{"family":"Gentekaki","given":"Eleni"},{"family":"Gopalan","given":"Venkat"},{"family":"Kakumyan","given":"Pattana"},{"family":"Harishchandra","given":"Dulanjalee"},{"family":"Hemachandran","given":"Hridya"},{"family":"Hongsanan","given":"Sinang"},{"family":"Karunarathna","given":"Anuruddha"},{"family":"Karunarathna","given":"Samantha C."},{"family":"Khan","given":"Sehroon"},{"family":"Kumla","given":"Jaturong"},{"family":"Jayawardena","given":"Ruvishika S."},{"family":"Liu","given":"Jian Kui"},{"family":"Liu","given":"Ningguo"},{"family":"Luangharn","given":"Thatsanee"},{"family":"Macabeo","given":"Allan Patrick G."},{"family":"Marasinghe","given":"Diana S."},{"family":"Meeks","given":"Dan"},{"family":"Mortimer","given":"Peter E."},{"family":"Mueller","given":"Peter"},{"family":"Nadir","given":"Sadia"},{"family":"Nataraja","given":"Karaba N."},{"family":"Nontachaiyapoom","given":"Sureeporn"},{"family":"O’Brien","given":"Meghan"},{"family":"Penkhrue","given":"Watsana"},{"family":"Phukhamsakda","given":"Chayanard"},{"family":"Ramanan","given":"Uma Shaanker"},{"family":"Rathnayaka","given":"Achala R."},{"family":"Sadaba","given":"Resurreccion B."},{"family":"Sandargo","given":"Birthe"},{"family":"Samarakoon","given":"Binu C."},{"family":"Tennakoon","given":"Danushka S."},{"family":"Siva","given":"Ramamoorthy"},{"family":"Sriprom","given":"Wasan"},{"family":"Suryanarayanan","given":"T. S."},{"family":"Sujarit","given":"Kanaporn"},{"family":"Suwannarach","given":"Nakarin"},{"family":"Suwunwong","given":"Thitipone"},{"family":"Thongbai","given":"Benjarong"},{"family":"Thongklang","given":"Naritsada"},{"family":"Wei","given":"Deping"},{"family":"Wijesinghe","given":"S. Nuwanthika"},{"family":"Winiski","given":"Jake"},{"family":"Yan","given":"Jiye"},{"family":"Yasanthika","given":"Erandi"},{"family":"Stadler","given":"Marc"}],"issued":{"date-parts":[["2019"]]}}}],"schema":"https://github.com/citation-style-language/schema/raw/master/csl-citation.json"} </w:instrText>
      </w:r>
      <w:r w:rsidRPr="007D3578">
        <w:fldChar w:fldCharType="separate"/>
      </w:r>
      <w:r w:rsidRPr="007D3578">
        <w:t>(Hyde et al., 2019)</w:t>
      </w:r>
      <w:r w:rsidRPr="007D3578">
        <w:fldChar w:fldCharType="end"/>
      </w:r>
      <w:r w:rsidRPr="007D3578">
        <w:t xml:space="preserve">. Ante esto, el análisis molecular, mediante técnicas como la secuenciación de regiones genómicas conservadas (ITS, β-tubulina, TEF-1α), surge como </w:t>
      </w:r>
      <w:r w:rsidRPr="007D3578">
        <w:lastRenderedPageBreak/>
        <w:t>una herramienta robusta para la identificación taxonómica precisa</w:t>
      </w:r>
      <w:r w:rsidR="00804ADE" w:rsidRPr="007D3578">
        <w:t xml:space="preserve">. </w:t>
      </w:r>
      <w:r w:rsidRPr="007D3578">
        <w:t>No obstante, en el contexto agronómico de la guayaba, persisten vacíos en la estandarización metodológica para el diagnóstico molecular de estos patógenos, lo que dificulta el diseño de estrategias de manejo fitosanitario eficientes.</w:t>
      </w:r>
      <w:r w:rsidR="00804ADE" w:rsidRPr="007D3578">
        <w:t xml:space="preserve"> </w:t>
      </w:r>
      <w:r w:rsidR="007D3578" w:rsidRPr="007D3578">
        <w:t xml:space="preserve">Ante esta brecha, esta investigación propone </w:t>
      </w:r>
      <w:r w:rsidR="00DC75F0">
        <w:t xml:space="preserve">como objetivo general </w:t>
      </w:r>
      <w:r w:rsidR="007D3578" w:rsidRPr="007D3578">
        <w:t>desarrollar y validar una metodología molecular estandarizada para la identificación precisa de hongos patógenos en </w:t>
      </w:r>
      <w:r w:rsidR="007D3578" w:rsidRPr="007D3578">
        <w:rPr>
          <w:i/>
          <w:iCs/>
        </w:rPr>
        <w:t>P. guajava</w:t>
      </w:r>
      <w:r w:rsidR="007D3578" w:rsidRPr="007D3578">
        <w:t>, con objetivos específicos</w:t>
      </w:r>
      <w:r w:rsidR="00701BC5" w:rsidRPr="007D3578">
        <w:t xml:space="preserve"> </w:t>
      </w:r>
      <w:r w:rsidR="00DC75F0">
        <w:t xml:space="preserve">de </w:t>
      </w:r>
      <w:r w:rsidR="00701BC5" w:rsidRPr="007D3578">
        <w:t>aislar e identificar morfológicamente hongos asociados a lesiones, secuenciar regiones ITS, β-tubulina y TEF-1α y analizar filogenéticamente la diversidad de especies.</w:t>
      </w:r>
      <w:r w:rsidR="00804ADE" w:rsidRPr="007D3578">
        <w:t xml:space="preserve"> </w:t>
      </w:r>
      <w:r w:rsidR="00FA3DA1" w:rsidRPr="007D3578">
        <w:rPr>
          <w:bCs/>
        </w:rPr>
        <w:t>La hipótesis planteada para la investigación fue la implementación de un protocolo estandarizado de análisis molecular, basado en la secuenciación multilocus (ITS, β-tubulina y TEF-1α), permitirá la identificación precisa de especies crípticas de </w:t>
      </w:r>
      <w:r w:rsidR="00FA3DA1" w:rsidRPr="007D3578">
        <w:rPr>
          <w:i/>
          <w:iCs/>
        </w:rPr>
        <w:t>Colletotrichum</w:t>
      </w:r>
      <w:r w:rsidR="00FA3DA1" w:rsidRPr="007D3578">
        <w:rPr>
          <w:bCs/>
        </w:rPr>
        <w:t>, </w:t>
      </w:r>
      <w:r w:rsidR="00FA3DA1" w:rsidRPr="007D3578">
        <w:rPr>
          <w:i/>
          <w:iCs/>
        </w:rPr>
        <w:t>Fusarium</w:t>
      </w:r>
      <w:r w:rsidR="00FA3DA1" w:rsidRPr="007D3578">
        <w:rPr>
          <w:bCs/>
        </w:rPr>
        <w:t> y </w:t>
      </w:r>
      <w:r w:rsidR="00FA3DA1" w:rsidRPr="007D3578">
        <w:rPr>
          <w:i/>
          <w:iCs/>
        </w:rPr>
        <w:t>Phytophthora</w:t>
      </w:r>
      <w:r w:rsidR="00FA3DA1" w:rsidRPr="007D3578">
        <w:rPr>
          <w:bCs/>
        </w:rPr>
        <w:t> en guayaba (</w:t>
      </w:r>
      <w:r w:rsidR="00FA3DA1" w:rsidRPr="007D3578">
        <w:rPr>
          <w:bCs/>
          <w:i/>
        </w:rPr>
        <w:t>Psidium guajava L</w:t>
      </w:r>
      <w:r w:rsidR="00FA3DA1" w:rsidRPr="007D3578">
        <w:rPr>
          <w:bCs/>
        </w:rPr>
        <w:t>.), superando las limitaciones de los métodos morfológicos tradicionales y facilitando el diseño de estrategias de control específicas para reducir pérdidas económicas en el cultivo.</w:t>
      </w:r>
    </w:p>
    <w:p w14:paraId="61E54A3E" w14:textId="1472442E" w:rsidR="00A954B8" w:rsidRPr="00A954B8" w:rsidRDefault="00AE18FF" w:rsidP="00A954B8">
      <w:pPr>
        <w:spacing w:line="360" w:lineRule="auto"/>
        <w:jc w:val="both"/>
        <w:rPr>
          <w:rFonts w:ascii="Times New Roman" w:eastAsia="Times New Roman" w:hAnsi="Times New Roman" w:cs="Times New Roman"/>
          <w:b/>
          <w:sz w:val="24"/>
          <w:szCs w:val="24"/>
          <w:lang w:eastAsia="es-PE"/>
        </w:rPr>
      </w:pPr>
      <w:r w:rsidRPr="00A954B8">
        <w:rPr>
          <w:rFonts w:ascii="Times New Roman" w:eastAsia="Times New Roman" w:hAnsi="Times New Roman" w:cs="Times New Roman"/>
          <w:b/>
          <w:sz w:val="24"/>
          <w:szCs w:val="24"/>
          <w:lang w:eastAsia="es-PE"/>
        </w:rPr>
        <w:t>ANTECEDENTES</w:t>
      </w:r>
    </w:p>
    <w:p w14:paraId="345E08C3" w14:textId="77777777" w:rsidR="00107DEC" w:rsidRDefault="00107DEC" w:rsidP="00107DEC">
      <w:pPr>
        <w:spacing w:line="360" w:lineRule="auto"/>
        <w:ind w:firstLine="708"/>
        <w:jc w:val="both"/>
        <w:rPr>
          <w:rFonts w:ascii="Times New Roman" w:eastAsia="Times New Roman" w:hAnsi="Times New Roman" w:cs="Times New Roman"/>
          <w:sz w:val="24"/>
          <w:szCs w:val="24"/>
          <w:lang w:eastAsia="es-PE"/>
        </w:rPr>
      </w:pPr>
      <w:r w:rsidRPr="0067580D">
        <w:rPr>
          <w:rFonts w:ascii="Times New Roman" w:eastAsia="Times New Roman" w:hAnsi="Times New Roman" w:cs="Times New Roman"/>
          <w:sz w:val="24"/>
          <w:szCs w:val="24"/>
          <w:lang w:eastAsia="es-PE"/>
        </w:rPr>
        <w:t xml:space="preserve">El estudio de </w:t>
      </w:r>
      <w:r w:rsidR="0032330A">
        <w:rPr>
          <w:rFonts w:ascii="Times New Roman" w:eastAsia="Times New Roman" w:hAnsi="Times New Roman" w:cs="Times New Roman"/>
          <w:sz w:val="24"/>
          <w:szCs w:val="24"/>
          <w:lang w:eastAsia="es-PE"/>
        </w:rPr>
        <w:fldChar w:fldCharType="begin"/>
      </w:r>
      <w:r w:rsidR="0032330A">
        <w:rPr>
          <w:rFonts w:ascii="Times New Roman" w:eastAsia="Times New Roman" w:hAnsi="Times New Roman" w:cs="Times New Roman"/>
          <w:sz w:val="24"/>
          <w:szCs w:val="24"/>
          <w:lang w:eastAsia="es-PE"/>
        </w:rPr>
        <w:instrText xml:space="preserve"> ADDIN ZOTERO_ITEM CSL_CITATION {"citationID":"oIBB89CM","properties":{"formattedCitation":"(Grano-Maldonado et\\uc0\\u160{}al., 2021)","plainCitation":"(Grano-Maldonado et al., 2021)","noteIndex":0},"citationItems":[{"id":15,"uris":["http://zotero.org/users/local/RfV89UPq/items/55IPWLZY"],"itemData":{"id":15,"type":"article-journal","abstract":"The aim of this study was to characterize potential fungal species affecting mangrove species in Mexico. The phytopathogens were identified based on morphological and molecular characteristics using internal transcribed spacer (ITS1/ITS4) primers then sequenced and compared with the other related sequences in GenBank (NCBI). Three fungal species were identified as Colletotrichum queenslandicum () from black mangrove (Avicennia germinans); Colletotrichum ti () from white mangrove (Laguncularia racemosa) and buttonwood mangrove (Conocarpus erectus); Fusarium equiseti (Corda) from red mangrove (Rhizophora mangle). In addition, C. ti and F. equiseti were identified from mango Mangifera indica L. sampled close by the mangrove area. This study provides first evidence of anthracnose on four mangrove species caused by Colletotrichum and Fusarium species in the “Términos” coastal lagoon in Campeche State southern Mexico. This is the first time that C. queenslandicum and C. ti are reported in Mexico. F. equiseti has not been reported affecting M. indica and R. mangle until the present work. Little is known regarding fungal diseases affecting mangroves in Mexico. These ecosystems are protected by Mexican laws and may be threatened by these pathogenic fungus. This is the first report of the effect of Trichoderma harzianum TRICHO-SIN as an effective biological control against of Colletotrichum and Fusarium species.","container-title":"The Plant Pathology Journal","DOI":"10.5423/PPJ.OA.03.2021.0048","ISSN":"1598-2254","issue":"5","journalAbbreviation":"Plant Pathol J","note":"PMID: 34847633\nPMCID: PMC8632615","page":"465-475","source":"PubMed Central","title":"First Molecular Characterization of Colletotrichum sp. and Fusarium sp. Isolated from Mangrove in Mexico and the Antagonist Effect of Trichoderma harzianum as an Effective Biocontrol Agent","volume":"37","author":[{"family":"Grano-Maldonado","given":"Mayra I."},{"family":"Ramos-Payan","given":"Rosalio"},{"family":"Rivera-Chaparro","given":"Fernando"},{"family":"Aguilar-Medina","given":"Maribel"},{"family":"Romero-Quintana","given":"José Geovanni"},{"family":"Rodríguez-Santiago","given":"Amparo"},{"family":"Nieves-Soto","given":"Mario"}],"issued":{"date-parts":[["2021",10]]}}}],"schema":"https://github.com/citation-style-language/schema/raw/master/csl-citation.json"} </w:instrText>
      </w:r>
      <w:r w:rsidR="0032330A">
        <w:rPr>
          <w:rFonts w:ascii="Times New Roman" w:eastAsia="Times New Roman" w:hAnsi="Times New Roman" w:cs="Times New Roman"/>
          <w:sz w:val="24"/>
          <w:szCs w:val="24"/>
          <w:lang w:eastAsia="es-PE"/>
        </w:rPr>
        <w:fldChar w:fldCharType="separate"/>
      </w:r>
      <w:r w:rsidR="0032330A" w:rsidRPr="0032330A">
        <w:rPr>
          <w:rFonts w:ascii="Times New Roman" w:hAnsi="Times New Roman" w:cs="Times New Roman"/>
          <w:sz w:val="24"/>
          <w:szCs w:val="24"/>
        </w:rPr>
        <w:t>Grano</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et al.</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2021)</w:t>
      </w:r>
      <w:r w:rsidR="0032330A">
        <w:rPr>
          <w:rFonts w:ascii="Times New Roman" w:eastAsia="Times New Roman" w:hAnsi="Times New Roman" w:cs="Times New Roman"/>
          <w:sz w:val="24"/>
          <w:szCs w:val="24"/>
          <w:lang w:eastAsia="es-PE"/>
        </w:rPr>
        <w:fldChar w:fldCharType="end"/>
      </w:r>
      <w:r w:rsidR="0032330A">
        <w:rPr>
          <w:rFonts w:ascii="Times New Roman" w:eastAsia="Times New Roman" w:hAnsi="Times New Roman" w:cs="Times New Roman"/>
          <w:sz w:val="24"/>
          <w:szCs w:val="24"/>
          <w:lang w:eastAsia="es-PE"/>
        </w:rPr>
        <w:t xml:space="preserve"> </w:t>
      </w:r>
      <w:r w:rsidRPr="0067580D">
        <w:rPr>
          <w:rFonts w:ascii="Times New Roman" w:eastAsia="Times New Roman" w:hAnsi="Times New Roman" w:cs="Times New Roman"/>
          <w:sz w:val="24"/>
          <w:szCs w:val="24"/>
          <w:lang w:eastAsia="es-PE"/>
        </w:rPr>
        <w:t>caracterizó molecularmente especies 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(como </w:t>
      </w:r>
      <w:r w:rsidRPr="0067580D">
        <w:rPr>
          <w:rFonts w:ascii="Times New Roman" w:eastAsia="Times New Roman" w:hAnsi="Times New Roman" w:cs="Times New Roman"/>
          <w:i/>
          <w:iCs/>
          <w:sz w:val="24"/>
          <w:szCs w:val="24"/>
          <w:lang w:eastAsia="es-PE"/>
        </w:rPr>
        <w:t>C. queenslandicum</w:t>
      </w:r>
      <w:r w:rsidRPr="0067580D">
        <w:rPr>
          <w:rFonts w:ascii="Times New Roman" w:eastAsia="Times New Roman" w:hAnsi="Times New Roman" w:cs="Times New Roman"/>
          <w:sz w:val="24"/>
          <w:szCs w:val="24"/>
          <w:lang w:eastAsia="es-PE"/>
        </w:rPr>
        <w:t> y </w:t>
      </w:r>
      <w:r w:rsidRPr="0067580D">
        <w:rPr>
          <w:rFonts w:ascii="Times New Roman" w:eastAsia="Times New Roman" w:hAnsi="Times New Roman" w:cs="Times New Roman"/>
          <w:i/>
          <w:iCs/>
          <w:sz w:val="24"/>
          <w:szCs w:val="24"/>
          <w:lang w:eastAsia="es-PE"/>
        </w:rPr>
        <w:t>C. ti</w:t>
      </w:r>
      <w:r w:rsidRPr="0067580D">
        <w:rPr>
          <w:rFonts w:ascii="Times New Roman" w:eastAsia="Times New Roman" w:hAnsi="Times New Roman" w:cs="Times New Roman"/>
          <w:sz w:val="24"/>
          <w:szCs w:val="24"/>
          <w:lang w:eastAsia="es-PE"/>
        </w:rPr>
        <w:t>) asociadas a antracnosis en manglares y mango en México, utilizando la secuenciación de la región ITS y análisis filogenéticos. Los resultados demostraron que estas técnicas permiten diferenciar especies crípticas con alta precisión, superando las limitaciones de los métodos morfológicos tradicionales. Este trabajo resalta la importancia de los marcadores genéticos para identificar patógenos en ecosistemas tropicales y diseñar estrategias de control, especialmente en cultivos como la guayaba, donde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es un patógeno prevalente.</w:t>
      </w:r>
    </w:p>
    <w:p w14:paraId="1682EB52" w14:textId="77777777" w:rsidR="00107DEC" w:rsidRPr="0067580D" w:rsidRDefault="00107DEC" w:rsidP="00107DEC">
      <w:pPr>
        <w:spacing w:line="360" w:lineRule="auto"/>
        <w:ind w:firstLine="708"/>
        <w:jc w:val="both"/>
        <w:rPr>
          <w:rFonts w:ascii="Times New Roman" w:eastAsia="Times New Roman" w:hAnsi="Times New Roman" w:cs="Times New Roman"/>
          <w:sz w:val="24"/>
          <w:szCs w:val="24"/>
          <w:lang w:eastAsia="es-PE"/>
        </w:rPr>
      </w:pPr>
      <w:r w:rsidRPr="0067580D">
        <w:rPr>
          <w:rFonts w:ascii="Times New Roman" w:eastAsia="Times New Roman" w:hAnsi="Times New Roman" w:cs="Times New Roman"/>
          <w:sz w:val="24"/>
          <w:szCs w:val="24"/>
          <w:lang w:eastAsia="es-PE"/>
        </w:rPr>
        <w:t>En Colombia</w:t>
      </w:r>
      <w:r w:rsidR="0032330A">
        <w:rPr>
          <w:rFonts w:ascii="Times New Roman" w:eastAsia="Times New Roman" w:hAnsi="Times New Roman" w:cs="Times New Roman"/>
          <w:sz w:val="24"/>
          <w:szCs w:val="24"/>
          <w:lang w:eastAsia="es-PE"/>
        </w:rPr>
        <w:t xml:space="preserve"> se </w:t>
      </w:r>
      <w:r w:rsidRPr="0067580D">
        <w:rPr>
          <w:rFonts w:ascii="Times New Roman" w:eastAsia="Times New Roman" w:hAnsi="Times New Roman" w:cs="Times New Roman"/>
          <w:sz w:val="24"/>
          <w:szCs w:val="24"/>
          <w:lang w:eastAsia="es-PE"/>
        </w:rPr>
        <w:t>identificaron especies de </w:t>
      </w:r>
      <w:r w:rsidRPr="0067580D">
        <w:rPr>
          <w:rFonts w:ascii="Times New Roman" w:eastAsia="Times New Roman" w:hAnsi="Times New Roman" w:cs="Times New Roman"/>
          <w:i/>
          <w:iCs/>
          <w:sz w:val="24"/>
          <w:szCs w:val="24"/>
          <w:lang w:eastAsia="es-PE"/>
        </w:rPr>
        <w:t>Colletotrichum</w:t>
      </w:r>
      <w:r w:rsidRPr="0067580D">
        <w:rPr>
          <w:rFonts w:ascii="Times New Roman" w:eastAsia="Times New Roman" w:hAnsi="Times New Roman" w:cs="Times New Roman"/>
          <w:sz w:val="24"/>
          <w:szCs w:val="24"/>
          <w:lang w:eastAsia="es-PE"/>
        </w:rPr>
        <w:t> (como </w:t>
      </w:r>
      <w:r w:rsidRPr="0067580D">
        <w:rPr>
          <w:rFonts w:ascii="Times New Roman" w:eastAsia="Times New Roman" w:hAnsi="Times New Roman" w:cs="Times New Roman"/>
          <w:i/>
          <w:iCs/>
          <w:sz w:val="24"/>
          <w:szCs w:val="24"/>
          <w:lang w:eastAsia="es-PE"/>
        </w:rPr>
        <w:t>C. asianum</w:t>
      </w:r>
      <w:r w:rsidRPr="0067580D">
        <w:rPr>
          <w:rFonts w:ascii="Times New Roman" w:eastAsia="Times New Roman" w:hAnsi="Times New Roman" w:cs="Times New Roman"/>
          <w:sz w:val="24"/>
          <w:szCs w:val="24"/>
          <w:lang w:eastAsia="es-PE"/>
        </w:rPr>
        <w:t> y </w:t>
      </w:r>
      <w:r w:rsidRPr="0067580D">
        <w:rPr>
          <w:rFonts w:ascii="Times New Roman" w:eastAsia="Times New Roman" w:hAnsi="Times New Roman" w:cs="Times New Roman"/>
          <w:i/>
          <w:iCs/>
          <w:sz w:val="24"/>
          <w:szCs w:val="24"/>
          <w:lang w:eastAsia="es-PE"/>
        </w:rPr>
        <w:t>C. fructicola</w:t>
      </w:r>
      <w:r w:rsidRPr="0067580D">
        <w:rPr>
          <w:rFonts w:ascii="Times New Roman" w:eastAsia="Times New Roman" w:hAnsi="Times New Roman" w:cs="Times New Roman"/>
          <w:sz w:val="24"/>
          <w:szCs w:val="24"/>
          <w:lang w:eastAsia="es-PE"/>
        </w:rPr>
        <w:t>) en frutos de mango y otros cultivos, mediante el análisis combinado de las regiones ITS, β-tubulina y GAPDH. Este enfoque multilocus evidenció la presencia de complejos de especies crípticas con diferencias en patogenicidad y resistencia a fungicidas. El estudio subraya que la secuenciación molecular es clave para la taxonomía precisa de estos patógenos, facilitando el manejo de enfermedades en frutales tropicales, incluida la guayaba</w:t>
      </w:r>
      <w:r w:rsidR="0032330A">
        <w:rPr>
          <w:rFonts w:ascii="Times New Roman" w:eastAsia="Times New Roman" w:hAnsi="Times New Roman" w:cs="Times New Roman"/>
          <w:sz w:val="24"/>
          <w:szCs w:val="24"/>
          <w:lang w:eastAsia="es-PE"/>
        </w:rPr>
        <w:t xml:space="preserve"> </w:t>
      </w:r>
      <w:r w:rsidR="0032330A">
        <w:rPr>
          <w:rFonts w:ascii="Times New Roman" w:eastAsia="Times New Roman" w:hAnsi="Times New Roman" w:cs="Times New Roman"/>
          <w:sz w:val="24"/>
          <w:szCs w:val="24"/>
          <w:lang w:eastAsia="es-PE"/>
        </w:rPr>
        <w:fldChar w:fldCharType="begin"/>
      </w:r>
      <w:r w:rsidR="0032330A">
        <w:rPr>
          <w:rFonts w:ascii="Times New Roman" w:eastAsia="Times New Roman" w:hAnsi="Times New Roman" w:cs="Times New Roman"/>
          <w:sz w:val="24"/>
          <w:szCs w:val="24"/>
          <w:lang w:eastAsia="es-PE"/>
        </w:rPr>
        <w:instrText xml:space="preserve"> ADDIN ZOTERO_ITEM CSL_CITATION {"citationID":"WJ5huYqp","properties":{"formattedCitation":"(Afanador-Kafuri et\\uc0\\u160{}al., 2014)","plainCitation":"(Afanador-Kafuri et al., 2014)","noteIndex":0},"citationItems":[{"id":1,"uris":["http://zotero.org/users/local/RfV89UPq/items/NMRSQ58I"],"itemData":{"id":1,"type":"article-journal","abstract":"Since 1992, anthracnose of Andean blackberry (Rubus glaucus) has generated losses as high as 40% for farmers in Colombia. In this study, our goal was to characterize 240 Colletotrichum isolates from Andean blackberry in eight areas of Colombia. These isolates were evaluated according to morphological characteristics, sensitivity to benomyl, pathogenicity, and genetic variability. Identification of the genus Colletotrichum was achieved by using species complex-specific polymerase chain reaction primers. A multilocus phylogeny approach was used to identify isolates to the species level with sequences from the ribosomal internal transcribed spacer region and partial sequences of the actin, β-tubulin 2, calmodulin, chitin synthase 1, glutamine synthetase, and glyceraldehyde-3-phosphate dehydrogenase genes. Most of the isolates were identified as Colletotrichum gloeosporioides sensu lato, were associated with the Castilla ecotype, showed high sensitivity to benomyl, and were highly aggressive. Isolates identified as C. acutatum sensu lato were found mainly on the Thornless ecotype, were highly resistant to benomyl, and showed intermediate aggressiveness. Only three isolates were identified as C. boninense sensu lato. The species identified included C. fructicola, C. kahawae subsp. ciggaro, C. godetiae, C. karstii, C. brassicicola, and undetermined Colletotrichum spp. This study is the first report of these species associated with anthracnose in Andean blackberry.","container-title":"Plant Disease","DOI":"10.1094/PDIS-07-13-0752-RE","ISSN":"0191-2917","issue":"11","journalAbbreviation":"Plant Dis","language":"eng","note":"PMID: 30699787","page":"1503-1513","source":"PubMed","title":"Characterization of the Colletotrichum Species Causing Anthracnose in Andean Blackberry in Colombia","volume":"98","author":[{"family":"Afanador-Kafuri","given":"Lucía"},{"family":"González","given":"Alonso"},{"family":"Gañán","given":"Lederson"},{"family":"Mejía","given":"Juan Fernando"},{"family":"Cardona","given":"Nadya"},{"family":"Alvarez","given":"Elizabeth"}],"issued":{"date-parts":[["2014",11]]}}}],"schema":"https://github.com/citation-style-language/schema/raw/master/csl-citation.json"} </w:instrText>
      </w:r>
      <w:r w:rsidR="0032330A">
        <w:rPr>
          <w:rFonts w:ascii="Times New Roman" w:eastAsia="Times New Roman" w:hAnsi="Times New Roman" w:cs="Times New Roman"/>
          <w:sz w:val="24"/>
          <w:szCs w:val="24"/>
          <w:lang w:eastAsia="es-PE"/>
        </w:rPr>
        <w:fldChar w:fldCharType="separate"/>
      </w:r>
      <w:r w:rsidR="0032330A" w:rsidRPr="0032330A">
        <w:rPr>
          <w:rFonts w:ascii="Times New Roman" w:hAnsi="Times New Roman" w:cs="Times New Roman"/>
          <w:sz w:val="24"/>
          <w:szCs w:val="24"/>
        </w:rPr>
        <w:t>(Afanador</w:t>
      </w:r>
      <w:r w:rsidR="0032330A">
        <w:rPr>
          <w:rFonts w:ascii="Times New Roman" w:hAnsi="Times New Roman" w:cs="Times New Roman"/>
          <w:sz w:val="24"/>
          <w:szCs w:val="24"/>
        </w:rPr>
        <w:t xml:space="preserve"> </w:t>
      </w:r>
      <w:r w:rsidR="0032330A" w:rsidRPr="0032330A">
        <w:rPr>
          <w:rFonts w:ascii="Times New Roman" w:hAnsi="Times New Roman" w:cs="Times New Roman"/>
          <w:sz w:val="24"/>
          <w:szCs w:val="24"/>
        </w:rPr>
        <w:t>et al., 2014)</w:t>
      </w:r>
      <w:r w:rsidR="0032330A">
        <w:rPr>
          <w:rFonts w:ascii="Times New Roman" w:eastAsia="Times New Roman" w:hAnsi="Times New Roman" w:cs="Times New Roman"/>
          <w:sz w:val="24"/>
          <w:szCs w:val="24"/>
          <w:lang w:eastAsia="es-PE"/>
        </w:rPr>
        <w:fldChar w:fldCharType="end"/>
      </w:r>
      <w:r w:rsidR="0032330A">
        <w:rPr>
          <w:rFonts w:ascii="Times New Roman" w:eastAsia="Times New Roman" w:hAnsi="Times New Roman" w:cs="Times New Roman"/>
          <w:sz w:val="24"/>
          <w:szCs w:val="24"/>
          <w:lang w:eastAsia="es-PE"/>
        </w:rPr>
        <w:t>.</w:t>
      </w:r>
    </w:p>
    <w:p w14:paraId="378A7165" w14:textId="4F76AB82" w:rsidR="00107DEC" w:rsidRDefault="0032330A"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lastRenderedPageBreak/>
        <w:t>En la investigación</w:t>
      </w:r>
      <w:r w:rsidR="00107DEC" w:rsidRPr="0067580D">
        <w:rPr>
          <w:rFonts w:ascii="Times New Roman" w:eastAsia="Times New Roman" w:hAnsi="Times New Roman" w:cs="Times New Roman"/>
          <w:sz w:val="24"/>
          <w:szCs w:val="24"/>
          <w:lang w:eastAsia="es-PE"/>
        </w:rPr>
        <w:t xml:space="preserve"> demostraron que la espectrometría de masas MALDI-TOF permite la identificación precisa de hongos filamentosos en menos de 24 horas, superando los métodos tradicionales que requieren cultivos prolongados. Esta técnica, aplicada a patógenos agrícolas como </w:t>
      </w:r>
      <w:r w:rsidR="00107DEC" w:rsidRPr="0067580D">
        <w:rPr>
          <w:rFonts w:ascii="Times New Roman" w:eastAsia="Times New Roman" w:hAnsi="Times New Roman" w:cs="Times New Roman"/>
          <w:i/>
          <w:iCs/>
          <w:sz w:val="24"/>
          <w:szCs w:val="24"/>
          <w:lang w:eastAsia="es-PE"/>
        </w:rPr>
        <w:t>Fusarium</w:t>
      </w:r>
      <w:r w:rsidR="00107DEC" w:rsidRPr="0067580D">
        <w:rPr>
          <w:rFonts w:ascii="Times New Roman" w:eastAsia="Times New Roman" w:hAnsi="Times New Roman" w:cs="Times New Roman"/>
          <w:sz w:val="24"/>
          <w:szCs w:val="24"/>
          <w:lang w:eastAsia="es-PE"/>
        </w:rPr>
        <w:t> spp., ofrece ventajas en sensibilidad y reproducibilidad, siendo clave para diagnósticos tempranos en cultivos afectados por hongos.</w:t>
      </w:r>
      <w:r w:rsidR="00107DEC">
        <w:rPr>
          <w:rFonts w:ascii="Times New Roman" w:eastAsia="Times New Roman" w:hAnsi="Times New Roman" w:cs="Times New Roman"/>
          <w:sz w:val="24"/>
          <w:szCs w:val="24"/>
          <w:lang w:eastAsia="es-PE"/>
        </w:rPr>
        <w:t xml:space="preserve"> En el estudio se</w:t>
      </w:r>
      <w:r w:rsidR="00107DEC" w:rsidRPr="00F94E54">
        <w:rPr>
          <w:rFonts w:ascii="Times New Roman" w:eastAsia="Times New Roman" w:hAnsi="Times New Roman" w:cs="Times New Roman"/>
          <w:sz w:val="24"/>
          <w:szCs w:val="24"/>
          <w:lang w:eastAsia="es-PE"/>
        </w:rPr>
        <w:t xml:space="preserve"> resalta la importancia de estandarizar bases de datos de espectros proteicos para hongos fitopatógenos, ya que la variabilidad intraespecífica puede generar falsos negativos. La inclusión de cepas de referencia de diferentes regiones geográficas mejora la identificación de especies crípticas en sistemas agrícolas</w:t>
      </w:r>
      <w:r>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{"citationID":"gFf5eVUW","properties":{"formattedCitation":"(Ovia\\uc0\\u241{}o &amp; Rodr\\uc0\\u237{}guez-S\\uc0\\u225{}nchez, 2021)","plainCitation":"(Oviaño &amp; Rodríguez-Sánchez, 2021)","noteIndex":0},"citationItems":[{"id":6,"uris":["http://zotero.org/users/local/RfV89UPq/items/RGDR4DLM"],"itemData":{"id":6,"type":"article-journal","abstract":"MALDI-TOF mass spectrometry has become a reference method for the routine identification of bacterial isolates in clinical microbiology laboratories around the world. Its high specificity, user-friendliness and cost-efficiency, together with its ability to provide reliable results in less than 5min have favoured its implementation and further development. The amount of microbial species that can be identified by MALDI-TOF routinely has increased in the last few years and now it is possible to reliably identify non-tuberculous mycobacteria or closely-related species of Nocardia spp. Yeasts, both belonging to Candida and non-Candida genera can also be identified by MALDI-TOF, as well as filamentous fungi. In the latter case, both sample preparation methods and the available databases have been important factors in achieving accurate identifications at the species level. The expertise acquired over time has allowed researchers to identify microorganisms directly from clinical samples, facilitating improved management of infected patients. This expertise has also been applied to the development of a MALDI-TOF-based methodology for the detection of different antimicrobial resistance mechanisms. Therefore, future applications such as bacterial strain typing, or the detection of virulence markers seems feasible to perform with this technology. Furthermore, other emerging mass spectrometry and spectroscopy technologies may assist MALDI-TOF in the near future to carry out important tasks that nowadays are performed by time-consuming and labour-intensive methods.","container-title":"Enfermedades Infecciosas Y Microbiologia Clinica (English Ed.)","DOI":"10.1016/j.eimc.2020.02.027","ISSN":"2529-993X","issue":"4","journalAbbreviation":"Enferm Infecc Microbiol Clin (Engl Ed)","language":"eng, spa","note":"PMID: 32345492","page":"192-200","source":"PubMed","title":"MALDI-TOF mass spectrometry in the 21st century clinical microbiology laboratory","volume":"39","author":[{"family":"Oviaño","given":"Marina"},{"family":"Rodríguez-Sánchez","given":"Belén"}],"issued":{"date-parts":[["2021",4]]}}}],"schema":"https://github.com/citation-style-language/schema/raw/master/csl-citation.json"}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32330A">
        <w:rPr>
          <w:rFonts w:ascii="Times New Roman" w:hAnsi="Times New Roman" w:cs="Times New Roman"/>
          <w:sz w:val="24"/>
          <w:szCs w:val="24"/>
        </w:rPr>
        <w:t>(Oviaño &amp; Rodríguez-Sánchez, 2021)</w:t>
      </w:r>
      <w:r>
        <w:rPr>
          <w:rFonts w:ascii="Times New Roman" w:eastAsia="Times New Roman" w:hAnsi="Times New Roman" w:cs="Times New Roman"/>
          <w:sz w:val="24"/>
          <w:szCs w:val="24"/>
          <w:lang w:eastAsia="es-PE"/>
        </w:rPr>
        <w:fldChar w:fldCharType="end"/>
      </w:r>
      <w:r w:rsidR="005E0A77">
        <w:rPr>
          <w:rFonts w:ascii="Times New Roman" w:eastAsia="Times New Roman" w:hAnsi="Times New Roman" w:cs="Times New Roman"/>
          <w:sz w:val="24"/>
          <w:szCs w:val="24"/>
          <w:lang w:eastAsia="es-PE"/>
        </w:rPr>
        <w:t>.</w:t>
      </w:r>
    </w:p>
    <w:p w14:paraId="552D09E7" w14:textId="77777777" w:rsidR="00107DEC" w:rsidRDefault="0032330A"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{"citationID":"d7piPrR2","properties":{"formattedCitation":"(Ji et\\uc0\\u160{}al., 2022)","plainCitation":"(Ji et al., 2022)","noteIndex":0},"citationItems":[{"id":13,"uris":["http://zotero.org/users/local/RfV89UPq/items/TYM9VW5Y"],"itemData":{"id":13,"type":"article-journal","abstract":"Guava (Psidium guajava L.) is a tropical fruit with great economic value. Guangdong is one of the most important guava production areas. In November 2019, guava wilt disease (GWD) was observed in a 10.6 HA commercial orchard in NanSha district, Guangzhou, Guangdong (22°37'37.626\" N, 113°35'56.089\" E). Disease incidence was up to 35%. Initially, leaves on the top of some branches became purple or yellow interveinal chlorosis, later dry. Infection severely became systemic developing vascular discoloration of stem, black root rot, eventually entire trees wilted and died. The root tissues were cut into 5-mm2 pieces and surface disinfected with 70% ethanol for 30 sec, 3 % sodium hypochlorite for 4 min, rinsed by the sterile water, then plated onto potato dextrose agar and incubated for 5 days at 25°C. A total of 8 monoconidial isolates with identical colony morphology were obtained. All formed cottony, whitish to pale yellow colonies. Conidiophores were dimorphic, penicillate and acremonium-like. Penicillate conidiophores gave rise to ovoidal, one-celled conidia (4.15 to 6.55×2.28 to 4.61 μm) (n=100) with truncated ends. Cylindrical or fusiform conidia (7.02 to 15.57×2.01 to 5.30 μm) (n=100) arose in long chains on acremonium-like conidiophores. Morphological characteristics of the isolates were consistent with those of Nalanthamala psidii (syn. Myxosporium psidii) reported by Schroers (2005). The rDNA internal transcribed spacer (ITS) and partial nuclear large-subunit ribosomal DNA (LSU) of two representative isolates (GDNS02 and GDNS08) were amplified using the primers pairs ITS4/ITS5 (White et al. 1990) and V9G/LR5 (de Hoog and Gerrits van den. 1998), respectively. The obtained sequences were deposited in GenBank under the accession nos. OM278372 to 73 (ITS) and OM278377 to 78 (LSU). BLASTn analysis showed 99.81% and 100% identities with the reported sequences of N. psidii CBS 116952 (AY864836) and CBS 110507 (AY554243). Maximum likelihood analyses of combined ITS and LSU sequences indicated that these two isolates being clustered with N. psidii strains. Pathogenicity tests were performed twice using healthy seedlings (60-70 cm height, cv. pearl). Each stem of five seedlings was wounded using a 5-mm sterile cork borer, and 5-day-old mycelium plugs of isolate GDNS08 were inoculated into the holes (25-cm above the soil line) and covered with Parafilm, sterile PDA plugs were placed into the wounds of additional 5 control seedlings. All plants were kept in a greenhouse (25℃, 80% relative humidity, 16/8-h day/night). After 3 months, all inoculated plants developed purple leaf, defoliation and wilt symptoms resembling those observed in the orchards, while the controls remained asymptomatic. Nalanthamala psidii was reisolated from the roots tissue of the inoculated plants, identity was confirmed by morphological characteristics and ITS sequence analyses as described above, but not from the controls, fulfilling Koch's postulates. Nalanthamala psidii has been previously reported as the causal agent of guava wilt in Taiwan, Philippines, South Africa and Bangladesh (Hsieh et al. 1976; Opina 1995; Schoeman et al. 1997; Alam et al. 2019). To our knowledge, this is the first report of N. psidii causing guava wilt in Guangdong, China. The outbreak of GWD in South Africa in the 1980s resulted in devastating losses to guava industry (Schoeman et al. 1997). Further research is needed to develop the integrated management to constrain this disease from spreading.","container-title":"Plant Disease","DOI":"10.1094/PDIS-05-22-1166-PDN","ISSN":"0191-2917","journalAbbreviation":"Plant Dis","language":"eng","note":"PMID: 36320135","source":"PubMed","title":"First Report of Nalanthamala psidii causing wilt disease of guava in Guangdong, China","author":[{"family":"Ji","given":"Chunyan"},{"family":"Ren","given":"Dongdong"},{"family":"Liang","given":"Xinyi"},{"family":"Pan","given":"Fei"},{"family":"Li","given":"Ruihuan"},{"family":"Lin","given":"Si"},{"family":"Lan","given":"Wenting"}],"issued":{"date-parts":[["2022",11,1]]}}}],"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32330A">
        <w:rPr>
          <w:rFonts w:ascii="Times New Roman" w:hAnsi="Times New Roman" w:cs="Times New Roman"/>
          <w:sz w:val="24"/>
          <w:szCs w:val="24"/>
        </w:rPr>
        <w:t xml:space="preserve">Ji et al. </w:t>
      </w:r>
      <w:r>
        <w:rPr>
          <w:rFonts w:ascii="Times New Roman" w:hAnsi="Times New Roman" w:cs="Times New Roman"/>
          <w:sz w:val="24"/>
          <w:szCs w:val="24"/>
        </w:rPr>
        <w:t>(</w:t>
      </w:r>
      <w:r w:rsidRPr="0032330A">
        <w:rPr>
          <w:rFonts w:ascii="Times New Roman" w:hAnsi="Times New Roman" w:cs="Times New Roman"/>
          <w:sz w:val="24"/>
          <w:szCs w:val="24"/>
        </w:rPr>
        <w:t>2022)</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 xml:space="preserve"> </w:t>
      </w:r>
      <w:r w:rsidR="00107DEC" w:rsidRPr="00F94E54">
        <w:rPr>
          <w:rFonts w:ascii="Times New Roman" w:eastAsia="Times New Roman" w:hAnsi="Times New Roman" w:cs="Times New Roman"/>
          <w:sz w:val="24"/>
          <w:szCs w:val="24"/>
          <w:lang w:eastAsia="es-PE"/>
        </w:rPr>
        <w:t>identificaron mediante secuenciación genómica que </w:t>
      </w:r>
      <w:r w:rsidR="00107DEC" w:rsidRPr="00F94E54">
        <w:rPr>
          <w:rFonts w:ascii="Times New Roman" w:eastAsia="Times New Roman" w:hAnsi="Times New Roman" w:cs="Times New Roman"/>
          <w:i/>
          <w:iCs/>
          <w:sz w:val="24"/>
          <w:szCs w:val="24"/>
          <w:lang w:eastAsia="es-PE"/>
        </w:rPr>
        <w:t>Nalanthamala psidii</w:t>
      </w:r>
      <w:r w:rsidR="00107DEC" w:rsidRPr="00F94E54">
        <w:rPr>
          <w:rFonts w:ascii="Times New Roman" w:eastAsia="Times New Roman" w:hAnsi="Times New Roman" w:cs="Times New Roman"/>
          <w:sz w:val="24"/>
          <w:szCs w:val="24"/>
          <w:lang w:eastAsia="es-PE"/>
        </w:rPr>
        <w:t> (agente causal de la marchitez de la guayaba) posee genes codificantes para enzimas ligninolíticas (como lacasas y peroxidasas), las cuales degradan tejidos vasculares de la planta. Este hallazgo explica su alta virulencia en cultivos de guayaba.</w:t>
      </w:r>
      <w:r w:rsidR="00107DEC">
        <w:rPr>
          <w:rFonts w:ascii="Times New Roman" w:eastAsia="Times New Roman" w:hAnsi="Times New Roman" w:cs="Times New Roman"/>
          <w:sz w:val="24"/>
          <w:szCs w:val="24"/>
          <w:lang w:eastAsia="es-PE"/>
        </w:rPr>
        <w:t xml:space="preserve"> En el estudio se</w:t>
      </w:r>
      <w:r w:rsidR="00107DEC" w:rsidRPr="00F94E54">
        <w:rPr>
          <w:rFonts w:ascii="Times New Roman" w:eastAsia="Times New Roman" w:hAnsi="Times New Roman" w:cs="Times New Roman"/>
          <w:sz w:val="24"/>
          <w:szCs w:val="24"/>
          <w:lang w:eastAsia="es-PE"/>
        </w:rPr>
        <w:t xml:space="preserve"> compararon aislamientos de </w:t>
      </w:r>
      <w:r w:rsidR="00107DEC" w:rsidRPr="00F94E54">
        <w:rPr>
          <w:rFonts w:ascii="Times New Roman" w:eastAsia="Times New Roman" w:hAnsi="Times New Roman" w:cs="Times New Roman"/>
          <w:i/>
          <w:iCs/>
          <w:sz w:val="24"/>
          <w:szCs w:val="24"/>
          <w:lang w:eastAsia="es-PE"/>
        </w:rPr>
        <w:t>N. psidii</w:t>
      </w:r>
      <w:r w:rsidR="00107DEC" w:rsidRPr="00F94E54">
        <w:rPr>
          <w:rFonts w:ascii="Times New Roman" w:eastAsia="Times New Roman" w:hAnsi="Times New Roman" w:cs="Times New Roman"/>
          <w:sz w:val="24"/>
          <w:szCs w:val="24"/>
          <w:lang w:eastAsia="es-PE"/>
        </w:rPr>
        <w:t> de Asia y América, revelando polimorfismos en genes de efectores (como los que codifican proteínas ricas en cisteína) asociados a adaptación hospedera. Estos marcadores permiten rastrear la dispersión del patógeno y diseñar estrategias regionales de control</w:t>
      </w:r>
      <w:r w:rsidR="00107DEC">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w:t>
      </w:r>
    </w:p>
    <w:p w14:paraId="3BE1D76F" w14:textId="77777777" w:rsidR="00107DEC"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 xml:space="preserve">En el estudio se </w:t>
      </w:r>
      <w:r w:rsidR="00107DEC" w:rsidRPr="00644100">
        <w:rPr>
          <w:rFonts w:ascii="Times New Roman" w:eastAsia="Times New Roman" w:hAnsi="Times New Roman" w:cs="Times New Roman"/>
          <w:sz w:val="24"/>
          <w:szCs w:val="24"/>
          <w:lang w:eastAsia="es-PE"/>
        </w:rPr>
        <w:t>destaca que la identificación morfológica tradicional de hongos patógenos como </w:t>
      </w:r>
      <w:r w:rsidR="00107DEC" w:rsidRPr="00644100">
        <w:rPr>
          <w:rFonts w:ascii="Times New Roman" w:eastAsia="Times New Roman" w:hAnsi="Times New Roman" w:cs="Times New Roman"/>
          <w:i/>
          <w:iCs/>
          <w:sz w:val="24"/>
          <w:szCs w:val="24"/>
          <w:lang w:eastAsia="es-PE"/>
        </w:rPr>
        <w:t>Botrytis</w:t>
      </w:r>
      <w:r w:rsidR="00107DEC" w:rsidRPr="00644100">
        <w:rPr>
          <w:rFonts w:ascii="Times New Roman" w:eastAsia="Times New Roman" w:hAnsi="Times New Roman" w:cs="Times New Roman"/>
          <w:sz w:val="24"/>
          <w:szCs w:val="24"/>
          <w:lang w:eastAsia="es-PE"/>
        </w:rPr>
        <w:t> y </w:t>
      </w:r>
      <w:r w:rsidR="00107DEC" w:rsidRPr="00644100">
        <w:rPr>
          <w:rFonts w:ascii="Times New Roman" w:eastAsia="Times New Roman" w:hAnsi="Times New Roman" w:cs="Times New Roman"/>
          <w:i/>
          <w:iCs/>
          <w:sz w:val="24"/>
          <w:szCs w:val="24"/>
          <w:lang w:eastAsia="es-PE"/>
        </w:rPr>
        <w:t>Lasiodiplodia</w:t>
      </w:r>
      <w:r w:rsidR="00107DEC" w:rsidRPr="00644100">
        <w:rPr>
          <w:rFonts w:ascii="Times New Roman" w:eastAsia="Times New Roman" w:hAnsi="Times New Roman" w:cs="Times New Roman"/>
          <w:sz w:val="24"/>
          <w:szCs w:val="24"/>
          <w:lang w:eastAsia="es-PE"/>
        </w:rPr>
        <w:t xml:space="preserve"> en cultivos peruanos presenta limitaciones debido a su alta variabilidad genética y capacidad mutacional. </w:t>
      </w:r>
      <w:r>
        <w:rPr>
          <w:rFonts w:ascii="Times New Roman" w:eastAsia="Times New Roman" w:hAnsi="Times New Roman" w:cs="Times New Roman"/>
          <w:sz w:val="24"/>
          <w:szCs w:val="24"/>
          <w:lang w:eastAsia="es-PE"/>
        </w:rPr>
        <w:t>La investigación</w:t>
      </w:r>
      <w:r w:rsidR="00107DEC" w:rsidRPr="00644100">
        <w:rPr>
          <w:rFonts w:ascii="Times New Roman" w:eastAsia="Times New Roman" w:hAnsi="Times New Roman" w:cs="Times New Roman"/>
          <w:sz w:val="24"/>
          <w:szCs w:val="24"/>
          <w:lang w:eastAsia="es-PE"/>
        </w:rPr>
        <w:t xml:space="preserve"> subraya que técnicas moleculares, como la secuenciación de la región ITS y el análisis filogenético, son esenciales para diferenciar especies crípticas y cepas patógenas con precisión. Esta aproximación metodológica ha permitido rastrear la dispersión geográfica de estos hongos en agroecosistemas peruanos, siendo aplicable a otros cultivos afectados por complejos fúngicos similares, como la guayaba</w:t>
      </w:r>
      <w:r w:rsidR="00107DEC">
        <w:rPr>
          <w:rFonts w:ascii="Times New Roman" w:eastAsia="Times New Roman" w:hAnsi="Times New Roman" w:cs="Times New Roman"/>
          <w:sz w:val="24"/>
          <w:szCs w:val="24"/>
          <w:lang w:eastAsia="es-PE"/>
        </w:rPr>
        <w:t>. L</w:t>
      </w:r>
      <w:r w:rsidR="00107DEC" w:rsidRPr="0026471E">
        <w:rPr>
          <w:rFonts w:ascii="Times New Roman" w:eastAsia="Times New Roman" w:hAnsi="Times New Roman" w:cs="Times New Roman"/>
          <w:sz w:val="24"/>
          <w:szCs w:val="24"/>
          <w:lang w:eastAsia="es-PE"/>
        </w:rPr>
        <w:t xml:space="preserve">a epidemiología molecular, apoyada en técnicas como PCR y secuenciación de ADN, no solo facilita la identificación taxonómica de hongos fitopatógenos, sino que también optimiza estrategias de control al correlacionar genotipos con factores de riesgo ambientales y agrícolas </w:t>
      </w: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{"citationID":"PsceP1fx","properties":{"formattedCitation":"(Hernandez, 2023)","plainCitation":"(Hernandez, 2023)","noteIndex":0},"citationItems":[{"id":8,"uris":["http://zotero.org/users/local/RfV89UPq/items/KP2CKDZY"],"itemData":{"id":8,"type":"webpage","abstract":"Explora la utilidad de la epidemiología molecular en la agricultura peruana, centrada en la identificación precisa de patógenos para mejorar la salud de los cultivos. Descubre cómo esta herramienta innovadora puede optimizar las estrategias de manejo y control. </w:instrText>
      </w:r>
      <w:r>
        <w:rPr>
          <w:rFonts w:ascii="Segoe UI Emoji" w:eastAsia="Times New Roman" w:hAnsi="Segoe UI Emoji" w:cs="Segoe UI Emoji"/>
          <w:sz w:val="24"/>
          <w:szCs w:val="24"/>
          <w:lang w:eastAsia="es-PE"/>
        </w:rPr>
        <w:instrText>🌾🔬</w:instrText>
      </w:r>
      <w:r>
        <w:rPr>
          <w:rFonts w:ascii="Times New Roman" w:eastAsia="Times New Roman" w:hAnsi="Times New Roman" w:cs="Times New Roman"/>
          <w:sz w:val="24"/>
          <w:szCs w:val="24"/>
          <w:lang w:eastAsia="es-PE"/>
        </w:rPr>
        <w:instrText xml:space="preserve"> #Agricultura #EpidemiologíaMolecular #IdentificaciónPatógena","language":"es","title":"Epidemiología Molecular de Botrytis y Lasiodiplodia en Perú","URL":"https://es.linkedin.com/pulse/epidemiolog%C3%ADa-molecular-de-botrytis-y-lasiodiplodia-en-hernandez-as2se","author":[{"family":"Hernandez","given":"Vianellys"}],"accessed":{"date-parts":[["2025",5,28]]},"issued":{"date-parts":[["2023",12,27]]}}}],"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rPr>
        <w:t>(Hernandez, 2023)</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w:t>
      </w:r>
    </w:p>
    <w:p w14:paraId="6212821B" w14:textId="77777777" w:rsidR="00107DEC" w:rsidRPr="008B0D2E"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Pr>
          <w:rFonts w:ascii="Times New Roman" w:eastAsia="Times New Roman" w:hAnsi="Times New Roman" w:cs="Times New Roman"/>
          <w:sz w:val="24"/>
          <w:szCs w:val="24"/>
          <w:lang w:eastAsia="es-PE"/>
        </w:rPr>
        <w:instrText xml:space="preserve"> ADDIN ZOTERO_ITEM CSL_CITATION {"citationID":"RPmlVHYm","properties":{"formattedCitation":"(Chacin, 2019)","plainCitation":"(Chacin, 2019)","dontUpdate":true,"noteIndex":0},"citationItems":[{"id":4,"uris":["http://zotero.org/users/local/RfV89UPq/items/US8CPS89"],"itemData":{"id":4,"type":"webpage","title":"Manejo de Plagas y Enfermedades en Guayaba Ing. Leandro Chacin | PPT","URL":"https://es.slideshare.net/slideshow/manejo-de-plagas-y-enfermedades-en-guayaba-ing-leandro-chacin/142788245","author":[{"family":"Chacin","given":"L."}],"accessed":{"date-parts":[["2025",5,28]]},"issued":{"date-parts":[["2019"]]}}}],"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rPr>
        <w:t xml:space="preserve">Chacin </w:t>
      </w:r>
      <w:r>
        <w:rPr>
          <w:rFonts w:ascii="Times New Roman" w:hAnsi="Times New Roman" w:cs="Times New Roman"/>
          <w:sz w:val="24"/>
        </w:rPr>
        <w:t>(</w:t>
      </w:r>
      <w:r w:rsidRPr="00F907F0">
        <w:rPr>
          <w:rFonts w:ascii="Times New Roman" w:hAnsi="Times New Roman" w:cs="Times New Roman"/>
          <w:sz w:val="24"/>
        </w:rPr>
        <w:t>2019)</w:t>
      </w:r>
      <w:r>
        <w:rPr>
          <w:rFonts w:ascii="Times New Roman" w:eastAsia="Times New Roman" w:hAnsi="Times New Roman" w:cs="Times New Roman"/>
          <w:sz w:val="24"/>
          <w:szCs w:val="24"/>
          <w:lang w:eastAsia="es-PE"/>
        </w:rPr>
        <w:fldChar w:fldCharType="end"/>
      </w:r>
      <w:r w:rsidR="00107DEC" w:rsidRPr="008B0D2E">
        <w:rPr>
          <w:rFonts w:ascii="Times New Roman" w:eastAsia="Times New Roman" w:hAnsi="Times New Roman" w:cs="Times New Roman"/>
          <w:sz w:val="24"/>
          <w:szCs w:val="24"/>
          <w:lang w:eastAsia="es-PE"/>
        </w:rPr>
        <w:t xml:space="preserve"> destaca que el manejo de enfermedades en guayaba requiere un enfoque integrado que combine métodos culturales, biológicos y químicos. El autor señala que patógenos como </w:t>
      </w:r>
      <w:r w:rsidR="00107DEC" w:rsidRPr="008B0D2E">
        <w:rPr>
          <w:rFonts w:ascii="Times New Roman" w:eastAsia="Times New Roman" w:hAnsi="Times New Roman" w:cs="Times New Roman"/>
          <w:i/>
          <w:sz w:val="24"/>
          <w:szCs w:val="24"/>
          <w:lang w:eastAsia="es-PE"/>
        </w:rPr>
        <w:t xml:space="preserve">Colletotrichum gloeosporioides y Pestalotiopsis </w:t>
      </w:r>
      <w:r w:rsidR="00107DEC" w:rsidRPr="00375B7C">
        <w:rPr>
          <w:rFonts w:ascii="Times New Roman" w:eastAsia="Times New Roman" w:hAnsi="Times New Roman" w:cs="Times New Roman"/>
          <w:iCs/>
          <w:sz w:val="24"/>
          <w:szCs w:val="24"/>
          <w:lang w:eastAsia="es-PE"/>
        </w:rPr>
        <w:t>spp.</w:t>
      </w:r>
      <w:r w:rsidR="00107DEC" w:rsidRPr="008B0D2E">
        <w:rPr>
          <w:rFonts w:ascii="Times New Roman" w:eastAsia="Times New Roman" w:hAnsi="Times New Roman" w:cs="Times New Roman"/>
          <w:sz w:val="24"/>
          <w:szCs w:val="24"/>
          <w:lang w:eastAsia="es-PE"/>
        </w:rPr>
        <w:t xml:space="preserve"> han desarrollado resistencia a fungicidas comunes en las principales zonas productoras del </w:t>
      </w:r>
      <w:r w:rsidR="00107DEC" w:rsidRPr="008B0D2E">
        <w:rPr>
          <w:rFonts w:ascii="Times New Roman" w:eastAsia="Times New Roman" w:hAnsi="Times New Roman" w:cs="Times New Roman"/>
          <w:sz w:val="24"/>
          <w:szCs w:val="24"/>
          <w:lang w:eastAsia="es-PE"/>
        </w:rPr>
        <w:lastRenderedPageBreak/>
        <w:t>Perú, lo que hace necesario implementar estrategias más sostenibles.</w:t>
      </w:r>
      <w:r w:rsidR="00107DEC">
        <w:rPr>
          <w:rFonts w:ascii="Times New Roman" w:eastAsia="Times New Roman" w:hAnsi="Times New Roman" w:cs="Times New Roman"/>
          <w:sz w:val="24"/>
          <w:szCs w:val="24"/>
          <w:lang w:eastAsia="es-PE"/>
        </w:rPr>
        <w:t xml:space="preserve"> </w:t>
      </w:r>
      <w:r w:rsidR="00107DEC" w:rsidRPr="008B0D2E">
        <w:rPr>
          <w:rFonts w:ascii="Times New Roman" w:eastAsia="Times New Roman" w:hAnsi="Times New Roman" w:cs="Times New Roman"/>
          <w:sz w:val="24"/>
          <w:szCs w:val="24"/>
          <w:lang w:eastAsia="es-PE"/>
        </w:rPr>
        <w:t>El diagnóstico temprano de enfermedades fúngicas en guayaba es fundamental para implementar medidas de control efectivas. El trabajo menciona que síntomas como manchas foliares, pudrición de frutos y marchitez vascular deben evaluarse mediante técnicas combinadas (visuales y moleculares) para una identificación precisa del agente causal</w:t>
      </w:r>
      <w:r w:rsidR="00107DEC">
        <w:rPr>
          <w:rFonts w:ascii="Times New Roman" w:eastAsia="Times New Roman" w:hAnsi="Times New Roman" w:cs="Times New Roman"/>
          <w:sz w:val="24"/>
          <w:szCs w:val="24"/>
          <w:lang w:eastAsia="es-PE"/>
        </w:rPr>
        <w:t>.</w:t>
      </w:r>
    </w:p>
    <w:p w14:paraId="7B163C44" w14:textId="77777777" w:rsidR="00107DEC" w:rsidRPr="008B0D2E" w:rsidRDefault="00F907F0" w:rsidP="00F907F0">
      <w:pPr>
        <w:pStyle w:val="ds-markdown-paragraph"/>
        <w:shd w:val="clear" w:color="auto" w:fill="FFFFFF"/>
        <w:spacing w:before="206" w:beforeAutospacing="0" w:after="206" w:afterAutospacing="0" w:line="429" w:lineRule="atLeast"/>
        <w:ind w:firstLine="708"/>
        <w:jc w:val="both"/>
      </w:pPr>
      <w:r>
        <w:fldChar w:fldCharType="begin"/>
      </w:r>
      <w:r>
        <w:instrText xml:space="preserve"> ADDIN ZOTERO_ITEM CSL_CITATION {"citationID":"axiyHkKh","properties":{"formattedCitation":"(Chacin, 2019)","plainCitation":"(Chacin, 2019)","noteIndex":0},"citationItems":[{"id":4,"uris":["http://zotero.org/users/local/RfV89UPq/items/US8CPS89"],"itemData":{"id":4,"type":"webpage","title":"Manejo de Plagas y Enfermedades en Guayaba Ing. Leandro Chacin | PPT","URL":"https://es.slideshare.net/slideshow/manejo-de-plagas-y-enfermedades-en-guayaba-ing-leandro-chacin/142788245","author":[{"family":"Chacin","given":"L."}],"accessed":{"date-parts":[["2025",5,28]]},"issued":{"date-parts":[["2019"]]}}}],"schema":"https://github.com/citation-style-language/schema/raw/master/csl-citation.json"} </w:instrText>
      </w:r>
      <w:r>
        <w:fldChar w:fldCharType="separate"/>
      </w:r>
      <w:r w:rsidRPr="00F907F0">
        <w:t>(Chacin, 2019)</w:t>
      </w:r>
      <w:r>
        <w:fldChar w:fldCharType="end"/>
      </w:r>
      <w:r>
        <w:t xml:space="preserve"> </w:t>
      </w:r>
      <w:r w:rsidR="00107DEC" w:rsidRPr="008B0D2E">
        <w:t xml:space="preserve">reporta que las enfermedades fúngicas pueden causar pérdidas de hasta el 40% en la producción de guayaba en Perú, especialmente durante la temporada húmeda. El estudio enfatiza que la antracnosis (causada por </w:t>
      </w:r>
      <w:r w:rsidR="00107DEC" w:rsidRPr="008B0D2E">
        <w:rPr>
          <w:i/>
        </w:rPr>
        <w:t xml:space="preserve">Colletotrichum </w:t>
      </w:r>
      <w:r w:rsidR="00107DEC" w:rsidRPr="00375B7C">
        <w:rPr>
          <w:iCs/>
        </w:rPr>
        <w:t>spp.</w:t>
      </w:r>
      <w:r w:rsidR="00107DEC" w:rsidRPr="008B0D2E">
        <w:rPr>
          <w:i/>
        </w:rPr>
        <w:t>)</w:t>
      </w:r>
      <w:r w:rsidR="00107DEC" w:rsidRPr="008B0D2E">
        <w:t xml:space="preserve"> es la enfermedad más devastadora, afectando tanto la producción como la calidad comercial de los frutos</w:t>
      </w:r>
      <w:r w:rsidR="00107DEC">
        <w:t>.</w:t>
      </w:r>
    </w:p>
    <w:p w14:paraId="1F130394" w14:textId="77777777" w:rsidR="00107DEC" w:rsidRDefault="00F907F0" w:rsidP="00107DEC">
      <w:pPr>
        <w:spacing w:line="360" w:lineRule="auto"/>
        <w:ind w:firstLine="708"/>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fldChar w:fldCharType="begin"/>
      </w:r>
      <w:r w:rsidR="00DF0FB6">
        <w:rPr>
          <w:rFonts w:ascii="Times New Roman" w:eastAsia="Times New Roman" w:hAnsi="Times New Roman" w:cs="Times New Roman"/>
          <w:sz w:val="24"/>
          <w:szCs w:val="24"/>
          <w:lang w:eastAsia="es-PE"/>
        </w:rPr>
        <w:instrText xml:space="preserve"> ADDIN ZOTERO_ITEM CSL_CITATION {"citationID":"BohdoFUE","properties":{"formattedCitation":"(Omar Guti\\uc0\\u233{}rrez Alonso, Daniel Nieto \\uc0\\u193{}ngel, Juan Gabriel Guti\\uc0\\u233{}rrez Alonso, Felipe Delgadillo S\\uc0\\u225{}nchez, Jos\\uc0\\u233{}Luis Dom\\uc0\\u237{}nguez \\uc0\\u193{}lvarez, 2002)","plainCitation":"(Omar Gutiérrez Alonso, Daniel Nieto Ángel, Juan Gabriel Gutiérrez Alonso, Felipe Delgadillo Sánchez, JoséLuis Domínguez Álvarez, 2002)","dontUpdate":true,"noteIndex":0},"citationItems":[{"id":20,"uris":["http://zotero.org/users/local/RfV89UPq/items/H4QUKLPW"],"itemData":{"id":20,"type":"webpage","abstract":"PDF | Strains of Colletotrichum spp. from guava fruits with symptoms of antracnosis and stored during 12 days at room temperature collected from... | Find, read and cite all the research you need on ResearchGate","container-title":"ResearchGate","language":"en","title":"(PDF) Características morfológicas, culturales y patogenicidad de aislamientos de Colletotrichum spp. obtenidos de frutos de guayaba (Psidium guajava L.).","URL":"https://www.researchgate.net/publication/259910699_Caracteristicas_morfologicas_culturales_y_patogenicidad_de_aislamientos_de_Colletotrichum_spp_obtenidos_de_frutos_de_guayaba_Psidium_guajava_L","author":[{"family":"Omar Gutiérrez Alonso, Daniel Nieto Ángel, Juan Gabriel Gutiérrez Alonso, Felipe Delgadillo Sánchez, JoséLuis Domínguez Álvarez","given":""}],"accessed":{"date-parts":[["2025",5,28]]},"issued":{"date-parts":[["2002"]]}}}],"schema":"https://github.com/citation-style-language/schema/raw/master/csl-citation.json"} </w:instrText>
      </w:r>
      <w:r>
        <w:rPr>
          <w:rFonts w:ascii="Times New Roman" w:eastAsia="Times New Roman" w:hAnsi="Times New Roman" w:cs="Times New Roman"/>
          <w:sz w:val="24"/>
          <w:szCs w:val="24"/>
          <w:lang w:eastAsia="es-PE"/>
        </w:rPr>
        <w:fldChar w:fldCharType="separate"/>
      </w:r>
      <w:r w:rsidRPr="00F907F0">
        <w:rPr>
          <w:rFonts w:ascii="Times New Roman" w:hAnsi="Times New Roman" w:cs="Times New Roman"/>
          <w:sz w:val="24"/>
          <w:szCs w:val="24"/>
        </w:rPr>
        <w:t>Gutiérrez</w:t>
      </w:r>
      <w:r>
        <w:rPr>
          <w:rFonts w:ascii="Times New Roman" w:hAnsi="Times New Roman" w:cs="Times New Roman"/>
          <w:sz w:val="24"/>
          <w:szCs w:val="24"/>
        </w:rPr>
        <w:t xml:space="preserve"> et. al (</w:t>
      </w:r>
      <w:r w:rsidRPr="00F907F0">
        <w:rPr>
          <w:rFonts w:ascii="Times New Roman" w:hAnsi="Times New Roman" w:cs="Times New Roman"/>
          <w:sz w:val="24"/>
          <w:szCs w:val="24"/>
        </w:rPr>
        <w:t>2002)</w:t>
      </w:r>
      <w:r>
        <w:rPr>
          <w:rFonts w:ascii="Times New Roman" w:eastAsia="Times New Roman" w:hAnsi="Times New Roman" w:cs="Times New Roman"/>
          <w:sz w:val="24"/>
          <w:szCs w:val="24"/>
          <w:lang w:eastAsia="es-PE"/>
        </w:rPr>
        <w:fldChar w:fldCharType="end"/>
      </w:r>
      <w:r>
        <w:rPr>
          <w:rFonts w:ascii="Times New Roman" w:eastAsia="Times New Roman" w:hAnsi="Times New Roman" w:cs="Times New Roman"/>
          <w:sz w:val="24"/>
          <w:szCs w:val="24"/>
          <w:lang w:eastAsia="es-PE"/>
        </w:rPr>
        <w:t xml:space="preserve"> </w:t>
      </w:r>
      <w:r w:rsidR="00107DEC" w:rsidRPr="00BD418B">
        <w:rPr>
          <w:rFonts w:ascii="Times New Roman" w:eastAsia="Times New Roman" w:hAnsi="Times New Roman" w:cs="Times New Roman"/>
          <w:sz w:val="24"/>
          <w:szCs w:val="24"/>
          <w:lang w:eastAsia="es-PE"/>
        </w:rPr>
        <w:t xml:space="preserve">aplicó técnicas de secuenciación del gen ITS para identificar </w:t>
      </w:r>
      <w:r w:rsidR="00107DEC" w:rsidRPr="00DA6580">
        <w:rPr>
          <w:rFonts w:ascii="Times New Roman" w:eastAsia="Times New Roman" w:hAnsi="Times New Roman" w:cs="Times New Roman"/>
          <w:i/>
          <w:sz w:val="24"/>
          <w:szCs w:val="24"/>
          <w:lang w:eastAsia="es-PE"/>
        </w:rPr>
        <w:t>Colletotrichum gloeosporioides</w:t>
      </w:r>
      <w:r w:rsidR="00107DEC" w:rsidRPr="00BD418B">
        <w:rPr>
          <w:rFonts w:ascii="Times New Roman" w:eastAsia="Times New Roman" w:hAnsi="Times New Roman" w:cs="Times New Roman"/>
          <w:sz w:val="24"/>
          <w:szCs w:val="24"/>
          <w:lang w:eastAsia="es-PE"/>
        </w:rPr>
        <w:t xml:space="preserve"> en plantaciones de guayaba en Piura, Perú. Los resultados demostraron una alta variabilidad genética entre aislamientos, lo que sugiere la necesidad de implementar estrategias de manejo diferenciadas según la cepa predominante. Este trabajo resalta la importancia de los métodos moleculares para superar las limitaciones de la identificación morfológica tradicional en el control de la antracnosis en guayaba</w:t>
      </w:r>
      <w:r w:rsidR="00107DEC">
        <w:rPr>
          <w:rFonts w:ascii="Times New Roman" w:eastAsia="Times New Roman" w:hAnsi="Times New Roman" w:cs="Times New Roman"/>
          <w:sz w:val="24"/>
          <w:szCs w:val="24"/>
          <w:lang w:eastAsia="es-PE"/>
        </w:rPr>
        <w:t>. L</w:t>
      </w:r>
      <w:r w:rsidR="00107DEC" w:rsidRPr="00DA6580">
        <w:rPr>
          <w:rFonts w:ascii="Times New Roman" w:eastAsia="Times New Roman" w:hAnsi="Times New Roman" w:cs="Times New Roman"/>
          <w:sz w:val="24"/>
          <w:szCs w:val="24"/>
          <w:lang w:eastAsia="es-PE"/>
        </w:rPr>
        <w:t xml:space="preserve">os aislamientos de </w:t>
      </w:r>
      <w:r w:rsidR="00107DEC" w:rsidRPr="00DA6580">
        <w:rPr>
          <w:rFonts w:ascii="Times New Roman" w:eastAsia="Times New Roman" w:hAnsi="Times New Roman" w:cs="Times New Roman"/>
          <w:i/>
          <w:sz w:val="24"/>
          <w:szCs w:val="24"/>
          <w:lang w:eastAsia="es-PE"/>
        </w:rPr>
        <w:t xml:space="preserve">Colletotrichum </w:t>
      </w:r>
      <w:r w:rsidR="00107DEC" w:rsidRPr="00375B7C">
        <w:rPr>
          <w:rFonts w:ascii="Times New Roman" w:eastAsia="Times New Roman" w:hAnsi="Times New Roman" w:cs="Times New Roman"/>
          <w:iCs/>
          <w:sz w:val="24"/>
          <w:szCs w:val="24"/>
          <w:lang w:eastAsia="es-PE"/>
        </w:rPr>
        <w:t>spp.</w:t>
      </w:r>
      <w:r w:rsidR="00107DEC" w:rsidRPr="00DA6580">
        <w:rPr>
          <w:rFonts w:ascii="Times New Roman" w:eastAsia="Times New Roman" w:hAnsi="Times New Roman" w:cs="Times New Roman"/>
          <w:i/>
          <w:sz w:val="24"/>
          <w:szCs w:val="24"/>
          <w:lang w:eastAsia="es-PE"/>
        </w:rPr>
        <w:t xml:space="preserve"> </w:t>
      </w:r>
      <w:r w:rsidR="00107DEC" w:rsidRPr="00DA6580">
        <w:rPr>
          <w:rFonts w:ascii="Times New Roman" w:eastAsia="Times New Roman" w:hAnsi="Times New Roman" w:cs="Times New Roman"/>
          <w:sz w:val="24"/>
          <w:szCs w:val="24"/>
          <w:lang w:eastAsia="es-PE"/>
        </w:rPr>
        <w:t>obtenidos de guayaba en Piura mostraron sensibilidad variable a fungicidas comunes como el tiabendazol, pero resistencia creciente a imazalil y miclobutanil. Estos hallazgos subrayan la urgencia de desarrollar alternativas de control integrado, incluyendo el uso de antagonistas microbianos o extractos vegetales, para manejar la resistencia en campo y poscosecha</w:t>
      </w:r>
      <w:r w:rsidR="00107DEC">
        <w:rPr>
          <w:rFonts w:ascii="Times New Roman" w:eastAsia="Times New Roman" w:hAnsi="Times New Roman" w:cs="Times New Roman"/>
          <w:sz w:val="24"/>
          <w:szCs w:val="24"/>
          <w:lang w:eastAsia="es-PE"/>
        </w:rPr>
        <w:t>.</w:t>
      </w:r>
      <w:r>
        <w:rPr>
          <w:rFonts w:ascii="Times New Roman" w:eastAsia="Times New Roman" w:hAnsi="Times New Roman" w:cs="Times New Roman"/>
          <w:sz w:val="24"/>
          <w:szCs w:val="24"/>
          <w:lang w:eastAsia="es-PE"/>
        </w:rPr>
        <w:t xml:space="preserve"> </w:t>
      </w:r>
    </w:p>
    <w:p w14:paraId="377CF672" w14:textId="24279D6F" w:rsidR="004E2A32" w:rsidRPr="004E2A32" w:rsidRDefault="00107DEC" w:rsidP="00701BC5">
      <w:pPr>
        <w:spacing w:line="360" w:lineRule="auto"/>
        <w:ind w:firstLine="708"/>
        <w:jc w:val="both"/>
        <w:rPr>
          <w:rFonts w:ascii="Times New Roman" w:eastAsia="Times New Roman" w:hAnsi="Times New Roman" w:cs="Times New Roman"/>
          <w:sz w:val="24"/>
          <w:szCs w:val="24"/>
          <w:lang w:eastAsia="es-PE"/>
        </w:rPr>
      </w:pPr>
      <w:r w:rsidRPr="00DA6580">
        <w:rPr>
          <w:rFonts w:ascii="Times New Roman" w:eastAsia="Times New Roman" w:hAnsi="Times New Roman" w:cs="Times New Roman"/>
          <w:sz w:val="24"/>
          <w:szCs w:val="24"/>
          <w:lang w:eastAsia="es-PE"/>
        </w:rPr>
        <w:t xml:space="preserve">El informe técnico </w:t>
      </w:r>
      <w:r w:rsidR="00F907F0">
        <w:rPr>
          <w:rFonts w:ascii="Times New Roman" w:eastAsia="Times New Roman" w:hAnsi="Times New Roman" w:cs="Times New Roman"/>
          <w:sz w:val="24"/>
          <w:szCs w:val="24"/>
          <w:lang w:eastAsia="es-PE"/>
        </w:rPr>
        <w:t xml:space="preserve">de </w:t>
      </w:r>
      <w:r w:rsidR="00F907F0">
        <w:rPr>
          <w:rFonts w:ascii="Times New Roman" w:eastAsia="Times New Roman" w:hAnsi="Times New Roman" w:cs="Times New Roman"/>
          <w:sz w:val="24"/>
          <w:szCs w:val="24"/>
          <w:lang w:eastAsia="es-PE"/>
        </w:rPr>
        <w:fldChar w:fldCharType="begin"/>
      </w:r>
      <w:r w:rsidR="00DF0FB6">
        <w:rPr>
          <w:rFonts w:ascii="Times New Roman" w:eastAsia="Times New Roman" w:hAnsi="Times New Roman" w:cs="Times New Roman"/>
          <w:sz w:val="24"/>
          <w:szCs w:val="24"/>
          <w:lang w:eastAsia="es-PE"/>
        </w:rPr>
        <w:instrText xml:space="preserve"> ADDIN ZOTERO_ITEM CSL_CITATION {"citationID":"9VnZNFNx","properties":{"formattedCitation":"(Omar Guti\\uc0\\u233{}rrez Alonso, Daniel Nieto \\uc0\\u193{}ngel, Juan Gabriel Guti\\uc0\\u233{}rrez Alonso, Felipe Delgadillo S\\uc0\\u225{}nchez, Jos\\uc0\\u233{}Luis Dom\\uc0\\u237{}nguez \\uc0\\u193{}lvarez, 2002)","plainCitation":"(Omar Gutiérrez Alonso, Daniel Nieto Ángel, Juan Gabriel Gutiérrez Alonso, Felipe Delgadillo Sánchez, JoséLuis Domínguez Álvarez, 2002)","dontUpdate":true,"noteIndex":0},"citationItems":[{"id":20,"uris":["http://zotero.org/users/local/RfV89UPq/items/H4QUKLPW"],"itemData":{"id":20,"type":"webpage","abstract":"PDF | Strains of Colletotrichum spp. from guava fruits with symptoms of antracnosis and stored during 12 days at room temperature collected from... | Find, read and cite all the research you need on ResearchGate","container-title":"ResearchGate","language":"en","title":"(PDF) Características morfológicas, culturales y patogenicidad de aislamientos de Colletotrichum spp. obtenidos de frutos de guayaba (Psidium guajava L.).","URL":"https://www.researchgate.net/publication/259910699_Caracteristicas_morfologicas_culturales_y_patogenicidad_de_aislamientos_de_Colletotrichum_spp_obtenidos_de_frutos_de_guayaba_Psidium_guajava_L","author":[{"family":"Omar Gutiérrez Alonso, Daniel Nieto Ángel, Juan Gabriel Gutiérrez Alonso, Felipe Delgadillo Sánchez, JoséLuis Domínguez Álvarez","given":""}],"accessed":{"date-parts":[["2025",5,28]]},"issued":{"date-parts":[["2002"]]}}}],"schema":"https://github.com/citation-style-language/schema/raw/master/csl-citation.json"} </w:instrText>
      </w:r>
      <w:r w:rsidR="00F907F0">
        <w:rPr>
          <w:rFonts w:ascii="Times New Roman" w:eastAsia="Times New Roman" w:hAnsi="Times New Roman" w:cs="Times New Roman"/>
          <w:sz w:val="24"/>
          <w:szCs w:val="24"/>
          <w:lang w:eastAsia="es-PE"/>
        </w:rPr>
        <w:fldChar w:fldCharType="separate"/>
      </w:r>
      <w:r w:rsidR="00F907F0" w:rsidRPr="00F907F0">
        <w:rPr>
          <w:rFonts w:ascii="Times New Roman" w:hAnsi="Times New Roman" w:cs="Times New Roman"/>
          <w:sz w:val="24"/>
          <w:szCs w:val="24"/>
        </w:rPr>
        <w:t>Gutiérrez</w:t>
      </w:r>
      <w:r w:rsidR="00F907F0">
        <w:rPr>
          <w:rFonts w:ascii="Times New Roman" w:hAnsi="Times New Roman" w:cs="Times New Roman"/>
          <w:sz w:val="24"/>
          <w:szCs w:val="24"/>
        </w:rPr>
        <w:t xml:space="preserve"> et. al (</w:t>
      </w:r>
      <w:r w:rsidR="00F907F0" w:rsidRPr="00F907F0">
        <w:rPr>
          <w:rFonts w:ascii="Times New Roman" w:hAnsi="Times New Roman" w:cs="Times New Roman"/>
          <w:sz w:val="24"/>
          <w:szCs w:val="24"/>
        </w:rPr>
        <w:t>2002)</w:t>
      </w:r>
      <w:r w:rsidR="00F907F0">
        <w:rPr>
          <w:rFonts w:ascii="Times New Roman" w:eastAsia="Times New Roman" w:hAnsi="Times New Roman" w:cs="Times New Roman"/>
          <w:sz w:val="24"/>
          <w:szCs w:val="24"/>
          <w:lang w:eastAsia="es-PE"/>
        </w:rPr>
        <w:fldChar w:fldCharType="end"/>
      </w:r>
      <w:r w:rsidR="00F907F0">
        <w:rPr>
          <w:rFonts w:ascii="Times New Roman" w:eastAsia="Times New Roman" w:hAnsi="Times New Roman" w:cs="Times New Roman"/>
          <w:sz w:val="24"/>
          <w:szCs w:val="24"/>
          <w:lang w:eastAsia="es-PE"/>
        </w:rPr>
        <w:t xml:space="preserve"> </w:t>
      </w:r>
      <w:r w:rsidRPr="00DA6580">
        <w:rPr>
          <w:rFonts w:ascii="Times New Roman" w:eastAsia="Times New Roman" w:hAnsi="Times New Roman" w:cs="Times New Roman"/>
          <w:sz w:val="24"/>
          <w:szCs w:val="24"/>
          <w:lang w:eastAsia="es-PE"/>
        </w:rPr>
        <w:t>documentó que las infecciones por </w:t>
      </w:r>
      <w:r w:rsidRPr="00DA6580">
        <w:rPr>
          <w:rFonts w:ascii="Times New Roman" w:eastAsia="Times New Roman" w:hAnsi="Times New Roman" w:cs="Times New Roman"/>
          <w:i/>
          <w:iCs/>
          <w:sz w:val="24"/>
          <w:szCs w:val="24"/>
          <w:lang w:eastAsia="es-PE"/>
        </w:rPr>
        <w:t>Colletotrichum</w:t>
      </w:r>
      <w:r w:rsidRPr="00DA6580">
        <w:rPr>
          <w:rFonts w:ascii="Times New Roman" w:eastAsia="Times New Roman" w:hAnsi="Times New Roman" w:cs="Times New Roman"/>
          <w:sz w:val="24"/>
          <w:szCs w:val="24"/>
          <w:lang w:eastAsia="es-PE"/>
        </w:rPr>
        <w:t> spp. en guayaba reducen hasta un 30% el rendimiento comercial en Piura, especialmente durante la temporada húmeda. El estudio enfatiza que la identificación molecular temprana de las cepas patógenas es clave para diseñar estrategias regionales que minimicen pérdidas económicas en este cultivo de importancia nacional</w:t>
      </w:r>
      <w:r>
        <w:rPr>
          <w:rFonts w:ascii="Times New Roman" w:eastAsia="Times New Roman" w:hAnsi="Times New Roman" w:cs="Times New Roman"/>
          <w:sz w:val="24"/>
          <w:szCs w:val="24"/>
          <w:lang w:eastAsia="es-PE"/>
        </w:rPr>
        <w:t>.</w:t>
      </w:r>
      <w:r w:rsidR="00701BC5">
        <w:rPr>
          <w:rFonts w:ascii="Times New Roman" w:eastAsia="Times New Roman" w:hAnsi="Times New Roman" w:cs="Times New Roman"/>
          <w:sz w:val="24"/>
          <w:szCs w:val="24"/>
          <w:lang w:eastAsia="es-PE"/>
        </w:rPr>
        <w:t xml:space="preserve"> </w:t>
      </w:r>
    </w:p>
    <w:p w14:paraId="5007374C" w14:textId="19D0F47A" w:rsidR="004E2A32" w:rsidRPr="004E2A32" w:rsidRDefault="00AE18FF" w:rsidP="00A954B8">
      <w:pPr>
        <w:shd w:val="clear" w:color="auto" w:fill="FFFFFF"/>
        <w:spacing w:before="274" w:after="206" w:line="360" w:lineRule="auto"/>
        <w:jc w:val="both"/>
        <w:outlineLvl w:val="2"/>
        <w:rPr>
          <w:rFonts w:ascii="Times New Roman" w:eastAsia="Times New Roman" w:hAnsi="Times New Roman" w:cs="Times New Roman"/>
          <w:sz w:val="24"/>
          <w:szCs w:val="24"/>
          <w:lang w:eastAsia="es-PE"/>
        </w:rPr>
      </w:pPr>
      <w:r>
        <w:rPr>
          <w:rFonts w:ascii="Times New Roman" w:eastAsia="Times New Roman" w:hAnsi="Times New Roman" w:cs="Times New Roman"/>
          <w:b/>
          <w:bCs/>
          <w:sz w:val="24"/>
          <w:szCs w:val="24"/>
          <w:lang w:eastAsia="es-PE"/>
        </w:rPr>
        <w:t>MATERIALES Y MÉTODOS</w:t>
      </w:r>
    </w:p>
    <w:p w14:paraId="29D5440D" w14:textId="6EDF20C8" w:rsidR="003F14BD" w:rsidRDefault="003F14BD" w:rsidP="003F14BD">
      <w:pPr>
        <w:pStyle w:val="ds-markdown-paragraph"/>
        <w:shd w:val="clear" w:color="auto" w:fill="FFFFFF"/>
        <w:spacing w:before="0" w:beforeAutospacing="0" w:after="120" w:afterAutospacing="0" w:line="360" w:lineRule="auto"/>
        <w:jc w:val="both"/>
        <w:rPr>
          <w:rStyle w:val="Textoennegrita"/>
        </w:rPr>
      </w:pPr>
      <w:r>
        <w:rPr>
          <w:rStyle w:val="Textoennegrita"/>
        </w:rPr>
        <w:t>Recolección de las muestras</w:t>
      </w:r>
    </w:p>
    <w:p w14:paraId="78DF49D9" w14:textId="16FC9F76" w:rsidR="003F14BD" w:rsidRDefault="003F14BD" w:rsidP="007E7885">
      <w:pPr>
        <w:pStyle w:val="selectable-text"/>
        <w:spacing w:line="360" w:lineRule="auto"/>
        <w:ind w:firstLine="708"/>
        <w:jc w:val="both"/>
        <w:rPr>
          <w:rStyle w:val="selectable-text1"/>
        </w:rPr>
      </w:pPr>
      <w:r>
        <w:rPr>
          <w:rStyle w:val="selectable-text1"/>
        </w:rPr>
        <w:t>Se recolectar</w:t>
      </w:r>
      <w:r w:rsidR="007E7885">
        <w:rPr>
          <w:rStyle w:val="selectable-text1"/>
        </w:rPr>
        <w:t>o</w:t>
      </w:r>
      <w:r>
        <w:rPr>
          <w:rStyle w:val="selectable-text1"/>
        </w:rPr>
        <w:t xml:space="preserve">n muestras de frutos </w:t>
      </w:r>
      <w:r w:rsidR="00EA3A41">
        <w:rPr>
          <w:rStyle w:val="selectable-text1"/>
        </w:rPr>
        <w:t>en</w:t>
      </w:r>
      <w:r>
        <w:rPr>
          <w:rStyle w:val="selectable-text1"/>
        </w:rPr>
        <w:t xml:space="preserve"> plantas afectadas </w:t>
      </w:r>
      <w:r w:rsidR="00EA3A41">
        <w:rPr>
          <w:rStyle w:val="selectable-text1"/>
        </w:rPr>
        <w:t xml:space="preserve">de guayaba </w:t>
      </w:r>
      <w:r>
        <w:rPr>
          <w:rStyle w:val="selectable-text1"/>
        </w:rPr>
        <w:t>ubicadas en</w:t>
      </w:r>
      <w:r w:rsidR="00BC3958">
        <w:rPr>
          <w:rStyle w:val="selectable-text1"/>
        </w:rPr>
        <w:t xml:space="preserve"> parcelas de </w:t>
      </w:r>
      <w:r>
        <w:rPr>
          <w:rStyle w:val="selectable-text1"/>
        </w:rPr>
        <w:t>La Unión (distrito de Huambo) y Shucush (distrito de Longar)</w:t>
      </w:r>
      <w:r w:rsidR="007E7885">
        <w:rPr>
          <w:rStyle w:val="selectable-text1"/>
        </w:rPr>
        <w:t xml:space="preserve">. </w:t>
      </w:r>
      <w:r>
        <w:rPr>
          <w:rStyle w:val="selectable-text1"/>
        </w:rPr>
        <w:t xml:space="preserve">Las muestras </w:t>
      </w:r>
      <w:r w:rsidR="002713D4">
        <w:rPr>
          <w:rStyle w:val="selectable-text1"/>
        </w:rPr>
        <w:lastRenderedPageBreak/>
        <w:t xml:space="preserve">fueron </w:t>
      </w:r>
      <w:r>
        <w:rPr>
          <w:rStyle w:val="selectable-text1"/>
        </w:rPr>
        <w:t>transportadas bajo condiciones controladas al Laboratorio de Investigación en Sanidad Vegetal (LABISANV) en la Universidad Nacional Toribio Rodríguez de Mendoza de Amazonas (UNTRM), donde se proced</w:t>
      </w:r>
      <w:r w:rsidR="00B25D29">
        <w:rPr>
          <w:rStyle w:val="selectable-text1"/>
        </w:rPr>
        <w:t>ió</w:t>
      </w:r>
      <w:r>
        <w:rPr>
          <w:rStyle w:val="selectable-text1"/>
        </w:rPr>
        <w:t xml:space="preserve"> con el aislamiento de microorganismos mediante cultivos en medios selectivos. Además, se extraerá ADN para la identificación molecular de hongos patógenos y microorganismos endófitos benéficos, utilizando la técnica de PCR y secuenciación genética.</w:t>
      </w:r>
    </w:p>
    <w:p w14:paraId="24355377" w14:textId="4F1B933A" w:rsidR="00E1299D" w:rsidRPr="00E1299D" w:rsidRDefault="00E1299D" w:rsidP="00E1299D">
      <w:pPr>
        <w:pStyle w:val="selectable-text"/>
        <w:spacing w:line="360" w:lineRule="auto"/>
        <w:jc w:val="both"/>
        <w:rPr>
          <w:rStyle w:val="selectable-text1"/>
          <w:b/>
        </w:rPr>
      </w:pPr>
      <w:r w:rsidRPr="00E1299D">
        <w:rPr>
          <w:b/>
          <w:noProof/>
        </w:rPr>
        <w:drawing>
          <wp:anchor distT="0" distB="0" distL="114300" distR="114300" simplePos="0" relativeHeight="251660288" behindDoc="0" locked="0" layoutInCell="1" allowOverlap="1" wp14:anchorId="574ED4C5" wp14:editId="14C9BB66">
            <wp:simplePos x="0" y="0"/>
            <wp:positionH relativeFrom="margin">
              <wp:align>left</wp:align>
            </wp:positionH>
            <wp:positionV relativeFrom="paragraph">
              <wp:posOffset>278765</wp:posOffset>
            </wp:positionV>
            <wp:extent cx="5667375" cy="3494405"/>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AYABA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67375" cy="3494405"/>
                    </a:xfrm>
                    <a:prstGeom prst="rect">
                      <a:avLst/>
                    </a:prstGeom>
                  </pic:spPr>
                </pic:pic>
              </a:graphicData>
            </a:graphic>
            <wp14:sizeRelH relativeFrom="page">
              <wp14:pctWidth>0</wp14:pctWidth>
            </wp14:sizeRelH>
            <wp14:sizeRelV relativeFrom="page">
              <wp14:pctHeight>0</wp14:pctHeight>
            </wp14:sizeRelV>
          </wp:anchor>
        </w:drawing>
      </w:r>
      <w:r w:rsidRPr="00E1299D">
        <w:rPr>
          <w:rStyle w:val="selectable-text1"/>
          <w:b/>
        </w:rPr>
        <w:t>Figura</w:t>
      </w:r>
      <w:r w:rsidR="0098695C">
        <w:rPr>
          <w:rStyle w:val="selectable-text1"/>
          <w:b/>
        </w:rPr>
        <w:t xml:space="preserve"> </w:t>
      </w:r>
      <w:r w:rsidRPr="00E1299D">
        <w:rPr>
          <w:rStyle w:val="selectable-text1"/>
          <w:b/>
        </w:rPr>
        <w:t>1</w:t>
      </w:r>
    </w:p>
    <w:p w14:paraId="46F13D0B" w14:textId="59346489" w:rsidR="006F78A4" w:rsidRDefault="006F78A4" w:rsidP="007E7885">
      <w:pPr>
        <w:pStyle w:val="selectable-text"/>
        <w:spacing w:line="360" w:lineRule="auto"/>
        <w:ind w:firstLine="708"/>
        <w:jc w:val="both"/>
      </w:pPr>
    </w:p>
    <w:p w14:paraId="658C391F" w14:textId="4F78427D" w:rsidR="006F78A4" w:rsidRDefault="006F78A4" w:rsidP="007E7885">
      <w:pPr>
        <w:pStyle w:val="selectable-text"/>
        <w:spacing w:line="360" w:lineRule="auto"/>
        <w:ind w:firstLine="708"/>
        <w:jc w:val="both"/>
      </w:pPr>
    </w:p>
    <w:p w14:paraId="539B8249" w14:textId="7EFD678D" w:rsidR="006F78A4" w:rsidRDefault="006F78A4" w:rsidP="007E7885">
      <w:pPr>
        <w:pStyle w:val="selectable-text"/>
        <w:spacing w:line="360" w:lineRule="auto"/>
        <w:ind w:firstLine="708"/>
        <w:jc w:val="both"/>
      </w:pPr>
    </w:p>
    <w:p w14:paraId="5A7A762C" w14:textId="271449D5" w:rsidR="00305F97" w:rsidRDefault="00305F97" w:rsidP="007E7885">
      <w:pPr>
        <w:pStyle w:val="selectable-text"/>
        <w:spacing w:line="360" w:lineRule="auto"/>
        <w:ind w:firstLine="708"/>
        <w:jc w:val="both"/>
      </w:pPr>
    </w:p>
    <w:p w14:paraId="50612DAB" w14:textId="3B21E94A" w:rsidR="00305F97" w:rsidRDefault="00305F97" w:rsidP="007E7885">
      <w:pPr>
        <w:pStyle w:val="selectable-text"/>
        <w:spacing w:line="360" w:lineRule="auto"/>
        <w:ind w:firstLine="708"/>
        <w:jc w:val="both"/>
      </w:pPr>
    </w:p>
    <w:p w14:paraId="1EFF9281" w14:textId="4DA41170" w:rsidR="00305F97" w:rsidRDefault="00305F97" w:rsidP="007E7885">
      <w:pPr>
        <w:pStyle w:val="selectable-text"/>
        <w:spacing w:line="360" w:lineRule="auto"/>
        <w:ind w:firstLine="708"/>
        <w:jc w:val="both"/>
      </w:pPr>
    </w:p>
    <w:p w14:paraId="2A3DE6D5" w14:textId="23CD377F" w:rsidR="00305F97" w:rsidRDefault="00305F97" w:rsidP="007E7885">
      <w:pPr>
        <w:pStyle w:val="selectable-text"/>
        <w:spacing w:line="360" w:lineRule="auto"/>
        <w:ind w:firstLine="708"/>
        <w:jc w:val="both"/>
      </w:pPr>
    </w:p>
    <w:p w14:paraId="12D6CCDF" w14:textId="5878A0E8" w:rsidR="00305F97" w:rsidRDefault="00305F97" w:rsidP="007E7885">
      <w:pPr>
        <w:pStyle w:val="selectable-text"/>
        <w:spacing w:line="360" w:lineRule="auto"/>
        <w:ind w:firstLine="708"/>
        <w:jc w:val="both"/>
      </w:pPr>
    </w:p>
    <w:p w14:paraId="5E569796" w14:textId="7CC7ED89" w:rsidR="00E1299D" w:rsidRPr="00375B7C" w:rsidRDefault="00B1275A" w:rsidP="00375B7C">
      <w:pPr>
        <w:pStyle w:val="Estilo2"/>
      </w:pPr>
      <w:r w:rsidRPr="00375B7C">
        <w:t xml:space="preserve">Nota: </w:t>
      </w:r>
      <w:r w:rsidR="00BC3958" w:rsidRPr="00375B7C">
        <w:t>El mapa de ubicación con la georreferenciación de las parcelas</w:t>
      </w:r>
      <w:r w:rsidR="00E1299D" w:rsidRPr="00375B7C">
        <w:rPr>
          <w:rStyle w:val="selectable-text1"/>
          <w:i/>
          <w:iCs w:val="0"/>
        </w:rPr>
        <w:t xml:space="preserve"> </w:t>
      </w:r>
      <w:r w:rsidR="00E1299D" w:rsidRPr="00375B7C">
        <w:rPr>
          <w:rStyle w:val="selectable-text1"/>
        </w:rPr>
        <w:t xml:space="preserve">en </w:t>
      </w:r>
      <w:r w:rsidRPr="00375B7C">
        <w:rPr>
          <w:rStyle w:val="selectable-text1"/>
        </w:rPr>
        <w:t xml:space="preserve">el </w:t>
      </w:r>
      <w:r w:rsidR="00E1299D" w:rsidRPr="00375B7C">
        <w:rPr>
          <w:rStyle w:val="selectable-text1"/>
        </w:rPr>
        <w:t>distrito</w:t>
      </w:r>
      <w:r w:rsidR="00E1299D" w:rsidRPr="00375B7C">
        <w:rPr>
          <w:rStyle w:val="selectable-text1"/>
          <w:i/>
          <w:iCs w:val="0"/>
        </w:rPr>
        <w:t xml:space="preserve"> </w:t>
      </w:r>
      <w:r w:rsidR="00E1299D" w:rsidRPr="00375B7C">
        <w:rPr>
          <w:rStyle w:val="selectable-text1"/>
        </w:rPr>
        <w:t>de Huambo y Longar</w:t>
      </w:r>
      <w:r w:rsidRPr="00375B7C">
        <w:rPr>
          <w:rStyle w:val="selectable-text1"/>
          <w:i/>
          <w:iCs w:val="0"/>
        </w:rPr>
        <w:t xml:space="preserve"> - </w:t>
      </w:r>
      <w:r w:rsidR="00E1299D" w:rsidRPr="00375B7C">
        <w:t xml:space="preserve">Provincia de </w:t>
      </w:r>
      <w:r w:rsidR="009B00DA" w:rsidRPr="00375B7C">
        <w:t>Rodríguez de Mendoza</w:t>
      </w:r>
      <w:r w:rsidRPr="00375B7C">
        <w:t xml:space="preserve"> y </w:t>
      </w:r>
      <w:r w:rsidR="00E1299D" w:rsidRPr="00375B7C">
        <w:t>Región de Amazonas</w:t>
      </w:r>
      <w:r w:rsidRPr="00375B7C">
        <w:t>.</w:t>
      </w:r>
      <w:r w:rsidR="00E1299D" w:rsidRPr="00375B7C">
        <w:t xml:space="preserve"> CS: Colecta Shucush (Longar)</w:t>
      </w:r>
      <w:r w:rsidR="009B00DA" w:rsidRPr="00375B7C">
        <w:t xml:space="preserve"> y </w:t>
      </w:r>
      <w:r w:rsidR="00E1299D" w:rsidRPr="00375B7C">
        <w:t>CU: Colecta La Unión (Huambo)</w:t>
      </w:r>
      <w:r w:rsidRPr="00375B7C">
        <w:t>.</w:t>
      </w:r>
    </w:p>
    <w:p w14:paraId="705EF470" w14:textId="77777777" w:rsidR="00B1275A" w:rsidRDefault="00B1275A" w:rsidP="003F14BD">
      <w:pPr>
        <w:pStyle w:val="ds-markdown-paragraph"/>
        <w:shd w:val="clear" w:color="auto" w:fill="FFFFFF"/>
        <w:spacing w:before="0" w:beforeAutospacing="0" w:after="120" w:afterAutospacing="0" w:line="360" w:lineRule="auto"/>
        <w:jc w:val="both"/>
        <w:rPr>
          <w:rStyle w:val="Textoennegrita"/>
        </w:rPr>
      </w:pPr>
    </w:p>
    <w:p w14:paraId="041E4E6A" w14:textId="2277FE2E" w:rsidR="00C81FF4" w:rsidRDefault="00C81FF4" w:rsidP="003F14BD">
      <w:pPr>
        <w:pStyle w:val="ds-markdown-paragraph"/>
        <w:shd w:val="clear" w:color="auto" w:fill="FFFFFF"/>
        <w:spacing w:before="0" w:beforeAutospacing="0" w:after="120" w:afterAutospacing="0" w:line="360" w:lineRule="auto"/>
        <w:jc w:val="both"/>
        <w:rPr>
          <w:rStyle w:val="Textoennegrita"/>
        </w:rPr>
      </w:pPr>
      <w:r w:rsidRPr="00C81FF4">
        <w:rPr>
          <w:rStyle w:val="Textoennegrita"/>
        </w:rPr>
        <w:t>Aislamiento fúngico</w:t>
      </w:r>
    </w:p>
    <w:p w14:paraId="4F632250" w14:textId="19B2D7FB" w:rsidR="00C81FF4" w:rsidRPr="00C81FF4" w:rsidRDefault="00C81FF4" w:rsidP="00C81FF4">
      <w:pPr>
        <w:pStyle w:val="ds-markdown-paragraph"/>
        <w:shd w:val="clear" w:color="auto" w:fill="FFFFFF"/>
        <w:spacing w:before="0" w:beforeAutospacing="0" w:after="0" w:afterAutospacing="0" w:line="360" w:lineRule="auto"/>
        <w:ind w:firstLine="708"/>
        <w:jc w:val="both"/>
      </w:pPr>
      <w:r w:rsidRPr="00C81FF4">
        <w:t xml:space="preserve">La desinfección de tejidos vegetales se realizó mediante inmersión en hipoclorito de sodio (NaClO) al 1% durante 1 minuto, seguido de tres lavados con agua destilada estéril. Las muestras desinfectadas se cultivaron en medio PDA (Potato Dextrose Agar) suplementado con antibióticos (cloramfenicol 100 mg/L) para inhibir contaminantes bacterianos, incubándose a 25°C durante 5-7 días en oscuridad. Las colonias fúngicas se </w:t>
      </w:r>
      <w:r w:rsidRPr="00C81FF4">
        <w:lastRenderedPageBreak/>
        <w:t>seleccionaron en función de características morfológicas (color, textura, tasa de crecimiento y patrones de esporulación), subcultivándose en PDA fresco para pureza.</w:t>
      </w:r>
    </w:p>
    <w:p w14:paraId="3D4ECF8F" w14:textId="77777777" w:rsidR="00C81FF4" w:rsidRDefault="00C81FF4" w:rsidP="00C81FF4">
      <w:pPr>
        <w:pStyle w:val="ds-markdown-paragraph"/>
        <w:shd w:val="clear" w:color="auto" w:fill="FFFFFF"/>
        <w:spacing w:before="206" w:beforeAutospacing="0" w:after="206" w:afterAutospacing="0" w:line="429" w:lineRule="atLeast"/>
        <w:jc w:val="both"/>
        <w:rPr>
          <w:rStyle w:val="Textoennegrita"/>
        </w:rPr>
      </w:pPr>
      <w:r w:rsidRPr="00C81FF4">
        <w:rPr>
          <w:rStyle w:val="Textoennegrita"/>
        </w:rPr>
        <w:t>Extracción de ADN</w:t>
      </w:r>
    </w:p>
    <w:p w14:paraId="2928371F" w14:textId="137D734C" w:rsidR="00C81FF4" w:rsidRPr="00C81FF4" w:rsidRDefault="00C81FF4" w:rsidP="00AE18FF">
      <w:pPr>
        <w:pStyle w:val="ds-markdown-paragraph"/>
        <w:shd w:val="clear" w:color="auto" w:fill="FFFFFF"/>
        <w:spacing w:before="206" w:beforeAutospacing="0" w:after="206" w:afterAutospacing="0" w:line="429" w:lineRule="atLeast"/>
        <w:ind w:firstLine="708"/>
        <w:jc w:val="both"/>
        <w:rPr>
          <w:b/>
          <w:bCs/>
        </w:rPr>
      </w:pPr>
      <w:r w:rsidRPr="00C81FF4">
        <w:t>El ADN genómico se obtuvo a partir de micelio activo (100 mg) utilizando el kit Wizard® Genomic DNA Purification (Promega, EE.UU.), siguiendo las especificaciones del fabricante. La concentración y pureza del ADN se cuantificaron mediante espectrofotometría (Nanodrop™ 2000), aceptándose muestras con relaciones A260/A280 entre 1.8–2.0. La integridad del ADN se verificó mediante electroforesis en gel de agarosa al 1% (100 V/30 min), teñido con bromuro de etidio.</w:t>
      </w:r>
    </w:p>
    <w:p w14:paraId="1B509BA3" w14:textId="77777777" w:rsidR="00AE18FF" w:rsidRDefault="00C81FF4" w:rsidP="00AE18FF">
      <w:pPr>
        <w:pStyle w:val="ds-markdown-paragraph"/>
        <w:shd w:val="clear" w:color="auto" w:fill="FFFFFF"/>
        <w:spacing w:before="240" w:beforeAutospacing="0" w:after="120" w:afterAutospacing="0" w:line="360" w:lineRule="auto"/>
        <w:jc w:val="both"/>
        <w:rPr>
          <w:rStyle w:val="Textoennegrita"/>
        </w:rPr>
      </w:pPr>
      <w:r w:rsidRPr="00C81FF4">
        <w:rPr>
          <w:rStyle w:val="Textoennegrita"/>
        </w:rPr>
        <w:t>Amplificación por PCR</w:t>
      </w:r>
    </w:p>
    <w:p w14:paraId="06D774DC" w14:textId="34FC9789" w:rsidR="00C81FF4" w:rsidRPr="00C81FF4" w:rsidRDefault="00C81FF4" w:rsidP="00AE18FF">
      <w:pPr>
        <w:pStyle w:val="ds-markdown-paragraph"/>
        <w:shd w:val="clear" w:color="auto" w:fill="FFFFFF"/>
        <w:spacing w:before="0" w:beforeAutospacing="0" w:after="0" w:afterAutospacing="0" w:line="360" w:lineRule="auto"/>
        <w:ind w:firstLine="708"/>
        <w:jc w:val="both"/>
      </w:pPr>
      <w:r w:rsidRPr="00C81FF4">
        <w:t>Se amplificaron tres marcadores filogenéticos: región ITS (primers ITS1/ITS4), β-tubulina (primers Bt2a/Bt2b) y factor de elongación de traducción 1-α (TEF-1α; primers EF1/EF2). Las reacciones de PCR (25 μL) emplearon el </w:t>
      </w:r>
      <w:r w:rsidRPr="00C81FF4">
        <w:rPr>
          <w:rStyle w:val="nfasis"/>
        </w:rPr>
        <w:t>master mix</w:t>
      </w:r>
      <w:r w:rsidRPr="00C81FF4">
        <w:t> GoTaq® Green (Promega) bajo las siguientes condiciones: desnaturalización inicial a 94°C durante 3 min; 35 ciclos de desnaturalización (94°C/30 s), alineamiento (55°C/30 s) y extensión (72°C/1 min); con extensión final a 72°C</w:t>
      </w:r>
      <w:r w:rsidR="00EE27CE">
        <w:t>.</w:t>
      </w:r>
    </w:p>
    <w:p w14:paraId="6E96EF8C" w14:textId="77777777" w:rsidR="00AE18FF" w:rsidRDefault="00AE18FF" w:rsidP="00AE18FF">
      <w:pPr>
        <w:shd w:val="clear" w:color="auto" w:fill="FFFFFF"/>
        <w:spacing w:before="206" w:after="206" w:line="360" w:lineRule="auto"/>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b/>
          <w:sz w:val="24"/>
          <w:szCs w:val="24"/>
          <w:lang w:eastAsia="es-PE"/>
        </w:rPr>
        <w:t>Secuenciación y procesamiento de datos</w:t>
      </w:r>
    </w:p>
    <w:p w14:paraId="73CA0713" w14:textId="2F70B603" w:rsidR="00AE18FF" w:rsidRPr="00AE18FF" w:rsidRDefault="00AE18FF" w:rsidP="00AE18FF">
      <w:pPr>
        <w:shd w:val="clear" w:color="auto" w:fill="FFFFFF"/>
        <w:spacing w:before="206" w:after="206" w:line="360" w:lineRule="auto"/>
        <w:ind w:firstLine="708"/>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sz w:val="24"/>
          <w:szCs w:val="24"/>
          <w:lang w:eastAsia="es-PE"/>
        </w:rPr>
        <w:t>Los amplicones purificados fueron secuenciados en ambas direcciones mediante el método de Sanger (Macrogen, Corea del Sur), empleando los mismos primers utilizados en la amplificación por PCR. Las secuencias crudas obtenidas se editaron con el software Chromas v1.45 para eliminar regiones de baja calidad (valor Q &lt; 30) y ensamblar lecturas complementarias. Posteriormente, las secuencias consenso se alinearon mediante el algoritmo MUSCLE integrado en MEGA v7.0, con ajustes manuales para optimizar la homología de nucleótidos en regiones conservadas.</w:t>
      </w:r>
    </w:p>
    <w:p w14:paraId="25332047" w14:textId="77777777" w:rsidR="00AE18FF" w:rsidRDefault="00AE18FF" w:rsidP="00AE18FF">
      <w:pPr>
        <w:shd w:val="clear" w:color="auto" w:fill="FFFFFF"/>
        <w:spacing w:before="206" w:after="206" w:line="360" w:lineRule="auto"/>
        <w:jc w:val="both"/>
        <w:rPr>
          <w:rFonts w:ascii="Times New Roman" w:eastAsia="Times New Roman" w:hAnsi="Times New Roman" w:cs="Times New Roman"/>
          <w:b/>
          <w:sz w:val="24"/>
          <w:szCs w:val="24"/>
          <w:lang w:eastAsia="es-PE"/>
        </w:rPr>
      </w:pPr>
      <w:r w:rsidRPr="00AE18FF">
        <w:rPr>
          <w:rFonts w:ascii="Times New Roman" w:eastAsia="Times New Roman" w:hAnsi="Times New Roman" w:cs="Times New Roman"/>
          <w:b/>
          <w:sz w:val="24"/>
          <w:szCs w:val="24"/>
          <w:lang w:eastAsia="es-PE"/>
        </w:rPr>
        <w:t>Identificación taxonómica y análisis filogenético</w:t>
      </w:r>
    </w:p>
    <w:p w14:paraId="287E5E56" w14:textId="356A049B" w:rsidR="00AE18FF" w:rsidRPr="00AE18FF" w:rsidRDefault="00AE18FF" w:rsidP="00AE18FF">
      <w:pPr>
        <w:shd w:val="clear" w:color="auto" w:fill="FFFFFF"/>
        <w:spacing w:before="206" w:after="206" w:line="360" w:lineRule="auto"/>
        <w:ind w:firstLine="708"/>
        <w:jc w:val="both"/>
        <w:rPr>
          <w:rFonts w:ascii="Times New Roman" w:eastAsia="Times New Roman" w:hAnsi="Times New Roman" w:cs="Times New Roman"/>
          <w:sz w:val="24"/>
          <w:szCs w:val="24"/>
          <w:lang w:eastAsia="es-PE"/>
        </w:rPr>
      </w:pPr>
      <w:r w:rsidRPr="00AE18FF">
        <w:rPr>
          <w:rFonts w:ascii="Times New Roman" w:eastAsia="Times New Roman" w:hAnsi="Times New Roman" w:cs="Times New Roman"/>
          <w:sz w:val="24"/>
          <w:szCs w:val="24"/>
          <w:lang w:eastAsia="es-PE"/>
        </w:rPr>
        <w:t xml:space="preserve">La identificación preliminar de especies se realizó mediante búsquedas de similitud en la base de datos NCBI-GenBank usando BLASTn (Basic Local Alignment Search Tool), considerando como criterios de confiabilidad una identidad de secuencia ≥98% y coverage ≥90%. Para la validación filogenética, se construyeron árboles de Máxima Verosimilitud (ML) en MEGA v7.0 bajo el modelo de sustitución GTR </w:t>
      </w:r>
      <w:r w:rsidRPr="00AE18FF">
        <w:rPr>
          <w:rFonts w:ascii="Times New Roman" w:eastAsia="Times New Roman" w:hAnsi="Times New Roman" w:cs="Times New Roman"/>
          <w:sz w:val="24"/>
          <w:szCs w:val="24"/>
          <w:lang w:eastAsia="es-PE"/>
        </w:rPr>
        <w:lastRenderedPageBreak/>
        <w:t>(General Time Reversible) con corrección gamma (+G) y estimación de sitios invariables (+I). La robustez de los clados se evaluó mediante 1,000 réplicas de bootstrap, considerando valores ≥70% como soporte nodal significativo. Los conjuntos de datos finales incluyeron secuencias tipo de especies referenciadas en estudios micológicos previos.</w:t>
      </w:r>
    </w:p>
    <w:p w14:paraId="104F5AAA" w14:textId="622C0C79" w:rsidR="004E2A32" w:rsidRDefault="00E86989" w:rsidP="00AE18FF">
      <w:pPr>
        <w:spacing w:line="360" w:lineRule="auto"/>
        <w:rPr>
          <w:rFonts w:ascii="Times New Roman" w:hAnsi="Times New Roman" w:cs="Times New Roman"/>
          <w:b/>
          <w:sz w:val="24"/>
          <w:szCs w:val="24"/>
        </w:rPr>
      </w:pPr>
      <w:r w:rsidRPr="00E86989">
        <w:rPr>
          <w:rFonts w:ascii="Times New Roman" w:hAnsi="Times New Roman" w:cs="Times New Roman"/>
          <w:b/>
          <w:sz w:val="24"/>
          <w:szCs w:val="24"/>
        </w:rPr>
        <w:t>Referencias</w:t>
      </w:r>
    </w:p>
    <w:p w14:paraId="4F55D365" w14:textId="77777777" w:rsidR="00E86989" w:rsidRPr="00E86989" w:rsidRDefault="00E86989" w:rsidP="00AE18FF">
      <w:pPr>
        <w:pStyle w:val="Bibliografa"/>
        <w:spacing w:line="360" w:lineRule="auto"/>
        <w:jc w:val="both"/>
        <w:rPr>
          <w:rFonts w:ascii="Times New Roman" w:hAnsi="Times New Roman" w:cs="Times New Roman"/>
          <w:sz w:val="24"/>
        </w:rPr>
      </w:pPr>
      <w:r>
        <w:rPr>
          <w:b/>
        </w:rPr>
        <w:fldChar w:fldCharType="begin"/>
      </w:r>
      <w:r>
        <w:rPr>
          <w:b/>
        </w:rPr>
        <w:instrText xml:space="preserve"> ADDIN ZOTERO_BIBL {"uncited":[],"omitted":[],"custom":[]} CSL_BIBLIOGRAPHY </w:instrText>
      </w:r>
      <w:r>
        <w:rPr>
          <w:b/>
        </w:rPr>
        <w:fldChar w:fldCharType="separate"/>
      </w:r>
      <w:r w:rsidRPr="00E86989">
        <w:rPr>
          <w:rFonts w:ascii="Times New Roman" w:hAnsi="Times New Roman" w:cs="Times New Roman"/>
          <w:sz w:val="24"/>
        </w:rPr>
        <w:t xml:space="preserve">Afanador-Kafuri, L., González, A., Gañán, L., Mejía, J. F., Cardona, N., &amp; Alvarez, E. (2014). </w:t>
      </w:r>
      <w:r w:rsidRPr="00E86989">
        <w:rPr>
          <w:rFonts w:ascii="Times New Roman" w:hAnsi="Times New Roman" w:cs="Times New Roman"/>
          <w:sz w:val="24"/>
          <w:lang w:val="en-US"/>
        </w:rPr>
        <w:t xml:space="preserve">Characterization of the Colletotrichum Species Causing Anthracnose in Andean Blackberry in Colombia. </w:t>
      </w:r>
      <w:r w:rsidRPr="00E86989">
        <w:rPr>
          <w:rFonts w:ascii="Times New Roman" w:hAnsi="Times New Roman" w:cs="Times New Roman"/>
          <w:i/>
          <w:iCs/>
          <w:sz w:val="24"/>
        </w:rPr>
        <w:t>Plant Disease</w:t>
      </w:r>
      <w:r w:rsidRPr="00E86989">
        <w:rPr>
          <w:rFonts w:ascii="Times New Roman" w:hAnsi="Times New Roman" w:cs="Times New Roman"/>
          <w:sz w:val="24"/>
        </w:rPr>
        <w:t xml:space="preserve">, </w:t>
      </w:r>
      <w:r w:rsidRPr="00E86989">
        <w:rPr>
          <w:rFonts w:ascii="Times New Roman" w:hAnsi="Times New Roman" w:cs="Times New Roman"/>
          <w:i/>
          <w:iCs/>
          <w:sz w:val="24"/>
        </w:rPr>
        <w:t>98</w:t>
      </w:r>
      <w:r w:rsidRPr="00E86989">
        <w:rPr>
          <w:rFonts w:ascii="Times New Roman" w:hAnsi="Times New Roman" w:cs="Times New Roman"/>
          <w:sz w:val="24"/>
        </w:rPr>
        <w:t>(11), 1503-1513. https://doi.org/10.1094/PDIS-07-13-0752-RE</w:t>
      </w:r>
    </w:p>
    <w:p w14:paraId="2A9BA6E7" w14:textId="77777777" w:rsidR="00E86989" w:rsidRPr="00DB7D6F" w:rsidRDefault="00E86989" w:rsidP="00AE18FF">
      <w:pPr>
        <w:pStyle w:val="Bibliografa"/>
        <w:spacing w:line="360" w:lineRule="auto"/>
        <w:jc w:val="both"/>
        <w:rPr>
          <w:rFonts w:ascii="Times New Roman" w:hAnsi="Times New Roman" w:cs="Times New Roman"/>
          <w:sz w:val="24"/>
          <w:lang w:val="pt-PT"/>
        </w:rPr>
      </w:pPr>
      <w:r w:rsidRPr="00E86989">
        <w:rPr>
          <w:rFonts w:ascii="Times New Roman" w:hAnsi="Times New Roman" w:cs="Times New Roman"/>
          <w:sz w:val="24"/>
        </w:rPr>
        <w:t xml:space="preserve">Chacin, L. (2019). </w:t>
      </w:r>
      <w:r w:rsidRPr="00E86989">
        <w:rPr>
          <w:rFonts w:ascii="Times New Roman" w:hAnsi="Times New Roman" w:cs="Times New Roman"/>
          <w:i/>
          <w:iCs/>
          <w:sz w:val="24"/>
        </w:rPr>
        <w:t xml:space="preserve">Manejo de Plagas y Enfermedades en Guayaba Ing. </w:t>
      </w:r>
      <w:r w:rsidRPr="00DB7D6F">
        <w:rPr>
          <w:rFonts w:ascii="Times New Roman" w:hAnsi="Times New Roman" w:cs="Times New Roman"/>
          <w:i/>
          <w:iCs/>
          <w:sz w:val="24"/>
          <w:lang w:val="pt-PT"/>
        </w:rPr>
        <w:t>Leandro Chacin | PPT</w:t>
      </w:r>
      <w:r w:rsidRPr="00DB7D6F">
        <w:rPr>
          <w:rFonts w:ascii="Times New Roman" w:hAnsi="Times New Roman" w:cs="Times New Roman"/>
          <w:sz w:val="24"/>
          <w:lang w:val="pt-PT"/>
        </w:rPr>
        <w:t>. https://es.slideshare.net/slideshow/manejo-de-plagas-y-enfermedades-en-guayaba-ing-leandro-chacin/142788245</w:t>
      </w:r>
    </w:p>
    <w:p w14:paraId="305EC442"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FAO. (2022). </w:t>
      </w:r>
      <w:r w:rsidRPr="00E86989">
        <w:rPr>
          <w:rFonts w:ascii="Times New Roman" w:hAnsi="Times New Roman" w:cs="Times New Roman"/>
          <w:i/>
          <w:iCs/>
          <w:sz w:val="24"/>
        </w:rPr>
        <w:t>El estado mundial de la agricultura y la alimentación 2022</w:t>
      </w:r>
      <w:r w:rsidRPr="00E86989">
        <w:rPr>
          <w:rFonts w:ascii="Times New Roman" w:hAnsi="Times New Roman" w:cs="Times New Roman"/>
          <w:sz w:val="24"/>
        </w:rPr>
        <w:t>. FAO ; https://openknowledge.fao.org/handle/20.500.14283/cb9479es</w:t>
      </w:r>
    </w:p>
    <w:p w14:paraId="3E9BF7BC" w14:textId="77777777" w:rsidR="00E86989" w:rsidRPr="00E86989" w:rsidRDefault="00E86989" w:rsidP="00AE18FF">
      <w:pPr>
        <w:pStyle w:val="Bibliografa"/>
        <w:spacing w:line="360" w:lineRule="auto"/>
        <w:jc w:val="both"/>
        <w:rPr>
          <w:rFonts w:ascii="Times New Roman" w:hAnsi="Times New Roman" w:cs="Times New Roman"/>
          <w:sz w:val="24"/>
          <w:lang w:val="en-US"/>
        </w:rPr>
      </w:pPr>
      <w:r w:rsidRPr="00E86989">
        <w:rPr>
          <w:rFonts w:ascii="Times New Roman" w:hAnsi="Times New Roman" w:cs="Times New Roman"/>
          <w:sz w:val="24"/>
        </w:rPr>
        <w:t xml:space="preserve">Grano-Maldonado, M. I., Ramos-Payan, R., Rivera-Chaparro, F., Aguilar-Medina, M., Romero-Quintana, J. G., Rodríguez-Santiago, A., &amp; Nieves-Soto, M. (2021). </w:t>
      </w:r>
      <w:r w:rsidRPr="00E86989">
        <w:rPr>
          <w:rFonts w:ascii="Times New Roman" w:hAnsi="Times New Roman" w:cs="Times New Roman"/>
          <w:sz w:val="24"/>
          <w:lang w:val="en-US"/>
        </w:rPr>
        <w:t xml:space="preserve">First Molecular Characterization of Colletotrichum sp. And Fusarium sp. Isolated from Mangrove in Mexico and the Antagonist Effect of Trichoderma harzianum as an Effective Biocontrol Agent. </w:t>
      </w:r>
      <w:r w:rsidRPr="00E86989">
        <w:rPr>
          <w:rFonts w:ascii="Times New Roman" w:hAnsi="Times New Roman" w:cs="Times New Roman"/>
          <w:i/>
          <w:iCs/>
          <w:sz w:val="24"/>
          <w:lang w:val="en-US"/>
        </w:rPr>
        <w:t>The Plant Pathology Journal</w:t>
      </w:r>
      <w:r w:rsidRPr="00E86989">
        <w:rPr>
          <w:rFonts w:ascii="Times New Roman" w:hAnsi="Times New Roman" w:cs="Times New Roman"/>
          <w:sz w:val="24"/>
          <w:lang w:val="en-US"/>
        </w:rPr>
        <w:t xml:space="preserve">, </w:t>
      </w:r>
      <w:r w:rsidRPr="00E86989">
        <w:rPr>
          <w:rFonts w:ascii="Times New Roman" w:hAnsi="Times New Roman" w:cs="Times New Roman"/>
          <w:i/>
          <w:iCs/>
          <w:sz w:val="24"/>
          <w:lang w:val="en-US"/>
        </w:rPr>
        <w:t>37</w:t>
      </w:r>
      <w:r w:rsidRPr="00E86989">
        <w:rPr>
          <w:rFonts w:ascii="Times New Roman" w:hAnsi="Times New Roman" w:cs="Times New Roman"/>
          <w:sz w:val="24"/>
          <w:lang w:val="en-US"/>
        </w:rPr>
        <w:t>(5), 465-475. https://doi.org/10.5423/PPJ.OA.03.2021.0048</w:t>
      </w:r>
    </w:p>
    <w:p w14:paraId="007BC663"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lang w:val="en-US"/>
        </w:rPr>
        <w:t xml:space="preserve">Hernandez, V. (2023, diciembre 27). </w:t>
      </w:r>
      <w:r w:rsidRPr="00E86989">
        <w:rPr>
          <w:rFonts w:ascii="Times New Roman" w:hAnsi="Times New Roman" w:cs="Times New Roman"/>
          <w:i/>
          <w:iCs/>
          <w:sz w:val="24"/>
        </w:rPr>
        <w:t>Epidemiología Molecular de Botrytis y Lasiodiplodia en Perú</w:t>
      </w:r>
      <w:r w:rsidRPr="00E86989">
        <w:rPr>
          <w:rFonts w:ascii="Times New Roman" w:hAnsi="Times New Roman" w:cs="Times New Roman"/>
          <w:sz w:val="24"/>
        </w:rPr>
        <w:t>. https://es.linkedin.com/pulse/epidemiolog%C3%ADa-molecular-de-botrytis-y-lasiodiplodia-en-hernandez-as2se</w:t>
      </w:r>
    </w:p>
    <w:p w14:paraId="27766456" w14:textId="77777777" w:rsidR="00E86989" w:rsidRPr="00E86989" w:rsidRDefault="00E86989" w:rsidP="00AE18FF">
      <w:pPr>
        <w:pStyle w:val="Bibliografa"/>
        <w:spacing w:line="360" w:lineRule="auto"/>
        <w:jc w:val="both"/>
        <w:rPr>
          <w:rFonts w:ascii="Times New Roman" w:hAnsi="Times New Roman" w:cs="Times New Roman"/>
          <w:sz w:val="24"/>
          <w:lang w:val="en-US"/>
        </w:rPr>
      </w:pPr>
      <w:r w:rsidRPr="00E86989">
        <w:rPr>
          <w:rFonts w:ascii="Times New Roman" w:hAnsi="Times New Roman" w:cs="Times New Roman"/>
          <w:sz w:val="24"/>
        </w:rPr>
        <w:t xml:space="preserve">Hyde, K. D., Xu, J., Rapior, S., Jeewon, R., Lumyong, S., Niego, A. G. T., Abeywickrama, P. D., Aluthmuhandiram, J. V. S., Brahamanage, R. S., Brooks, S., Chaiyasen, A., Chethana, K. W. T., Chomnunti, P., Chepkirui, C., Chuankid, B., Silva, N. I. de, Doilom, M., Faulds, C., Gentekaki, E., … </w:t>
      </w:r>
      <w:r w:rsidRPr="00E86989">
        <w:rPr>
          <w:rFonts w:ascii="Times New Roman" w:hAnsi="Times New Roman" w:cs="Times New Roman"/>
          <w:sz w:val="24"/>
          <w:lang w:val="en-US"/>
        </w:rPr>
        <w:t xml:space="preserve">Stadler, M. (2019). The amazing potential of fungi: 50 ways we can exploit fungi industrially. </w:t>
      </w:r>
      <w:r w:rsidRPr="00E86989">
        <w:rPr>
          <w:rFonts w:ascii="Times New Roman" w:hAnsi="Times New Roman" w:cs="Times New Roman"/>
          <w:i/>
          <w:iCs/>
          <w:sz w:val="24"/>
          <w:lang w:val="en-US"/>
        </w:rPr>
        <w:t>Fungal Diversity</w:t>
      </w:r>
      <w:r w:rsidRPr="00E86989">
        <w:rPr>
          <w:rFonts w:ascii="Times New Roman" w:hAnsi="Times New Roman" w:cs="Times New Roman"/>
          <w:sz w:val="24"/>
          <w:lang w:val="en-US"/>
        </w:rPr>
        <w:t xml:space="preserve">, </w:t>
      </w:r>
      <w:r w:rsidRPr="00E86989">
        <w:rPr>
          <w:rFonts w:ascii="Times New Roman" w:hAnsi="Times New Roman" w:cs="Times New Roman"/>
          <w:i/>
          <w:iCs/>
          <w:sz w:val="24"/>
          <w:lang w:val="en-US"/>
        </w:rPr>
        <w:t>97</w:t>
      </w:r>
      <w:r w:rsidRPr="00E86989">
        <w:rPr>
          <w:rFonts w:ascii="Times New Roman" w:hAnsi="Times New Roman" w:cs="Times New Roman"/>
          <w:sz w:val="24"/>
          <w:lang w:val="en-US"/>
        </w:rPr>
        <w:t>(1), Article 1. https://doi.org/10.1007/s13225-019-00430-9</w:t>
      </w:r>
    </w:p>
    <w:p w14:paraId="03F3FCB5" w14:textId="77777777" w:rsidR="00E86989" w:rsidRPr="00804ADE"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lang w:val="en-US"/>
        </w:rPr>
        <w:t xml:space="preserve">Ji, C., Ren, D., Liang, X., Pan, F., Li, R., Lin, S., &amp; Lan, W. (2022). First Report of Nalanthamala psidii causing wilt disease of guava in Guangdong, China. </w:t>
      </w:r>
      <w:r w:rsidRPr="00804ADE">
        <w:rPr>
          <w:rFonts w:ascii="Times New Roman" w:hAnsi="Times New Roman" w:cs="Times New Roman"/>
          <w:i/>
          <w:iCs/>
          <w:sz w:val="24"/>
        </w:rPr>
        <w:t>Plant Disease</w:t>
      </w:r>
      <w:r w:rsidRPr="00804ADE">
        <w:rPr>
          <w:rFonts w:ascii="Times New Roman" w:hAnsi="Times New Roman" w:cs="Times New Roman"/>
          <w:sz w:val="24"/>
        </w:rPr>
        <w:t>. https://doi.org/10.1094/PDIS-05-22-1166-PDN</w:t>
      </w:r>
    </w:p>
    <w:p w14:paraId="423252FB" w14:textId="77777777" w:rsidR="00E86989" w:rsidRPr="00804ADE" w:rsidRDefault="00E86989" w:rsidP="00AE18FF">
      <w:pPr>
        <w:pStyle w:val="Bibliografa"/>
        <w:spacing w:line="360" w:lineRule="auto"/>
        <w:jc w:val="both"/>
        <w:rPr>
          <w:rFonts w:ascii="Times New Roman" w:hAnsi="Times New Roman" w:cs="Times New Roman"/>
          <w:sz w:val="24"/>
        </w:rPr>
      </w:pPr>
      <w:r w:rsidRPr="00804ADE">
        <w:rPr>
          <w:rFonts w:ascii="Times New Roman" w:hAnsi="Times New Roman" w:cs="Times New Roman"/>
          <w:sz w:val="24"/>
        </w:rPr>
        <w:lastRenderedPageBreak/>
        <w:t xml:space="preserve">Omar Gutiérrez Alonso, Daniel Nieto Ángel, Juan Gabriel Gutiérrez Alonso, Felipe Delgadillo Sánchez, JoséLuis Domínguez Álvarez. (2002). </w:t>
      </w:r>
      <w:r w:rsidRPr="00804ADE">
        <w:rPr>
          <w:rFonts w:ascii="Times New Roman" w:hAnsi="Times New Roman" w:cs="Times New Roman"/>
          <w:i/>
          <w:iCs/>
          <w:sz w:val="24"/>
        </w:rPr>
        <w:t>(PDF) Características morfológicas, culturales y patogenicidad de aislamientos de Colletotrichum spp. Obtenidos de frutos de guayaba (Psidium guajava L.).</w:t>
      </w:r>
      <w:r w:rsidRPr="00804ADE">
        <w:rPr>
          <w:rFonts w:ascii="Times New Roman" w:hAnsi="Times New Roman" w:cs="Times New Roman"/>
          <w:sz w:val="24"/>
        </w:rPr>
        <w:t xml:space="preserve"> ResearchGate. https://www.researchgate.net/publication/259910699_Caracteristicas_morfologicas_culturales_y_patogenicidad_de_aislamientos_de_Colletotrichum_spp_obtenidos_de_frutos_de_guayaba_Psidium_guajava_L</w:t>
      </w:r>
    </w:p>
    <w:p w14:paraId="1FA63141"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Oviaño, M., &amp; Rodríguez-Sánchez, B. (2021). </w:t>
      </w:r>
      <w:r w:rsidRPr="00E86989">
        <w:rPr>
          <w:rFonts w:ascii="Times New Roman" w:hAnsi="Times New Roman" w:cs="Times New Roman"/>
          <w:sz w:val="24"/>
          <w:lang w:val="en-US"/>
        </w:rPr>
        <w:t xml:space="preserve">MALDI-TOF mass spectrometry in the 21st century clinical microbiology laboratory. </w:t>
      </w:r>
      <w:r w:rsidRPr="00E86989">
        <w:rPr>
          <w:rFonts w:ascii="Times New Roman" w:hAnsi="Times New Roman" w:cs="Times New Roman"/>
          <w:i/>
          <w:iCs/>
          <w:sz w:val="24"/>
        </w:rPr>
        <w:t>Enfermedades Infecciosas Y Microbiologia Clinica (English Ed.)</w:t>
      </w:r>
      <w:r w:rsidRPr="00E86989">
        <w:rPr>
          <w:rFonts w:ascii="Times New Roman" w:hAnsi="Times New Roman" w:cs="Times New Roman"/>
          <w:sz w:val="24"/>
        </w:rPr>
        <w:t xml:space="preserve">, </w:t>
      </w:r>
      <w:r w:rsidRPr="00E86989">
        <w:rPr>
          <w:rFonts w:ascii="Times New Roman" w:hAnsi="Times New Roman" w:cs="Times New Roman"/>
          <w:i/>
          <w:iCs/>
          <w:sz w:val="24"/>
        </w:rPr>
        <w:t>39</w:t>
      </w:r>
      <w:r w:rsidRPr="00E86989">
        <w:rPr>
          <w:rFonts w:ascii="Times New Roman" w:hAnsi="Times New Roman" w:cs="Times New Roman"/>
          <w:sz w:val="24"/>
        </w:rPr>
        <w:t>(4), 192-200. https://doi.org/10.1016/j.eimc.2020.02.027</w:t>
      </w:r>
    </w:p>
    <w:p w14:paraId="45BC401D" w14:textId="77777777" w:rsidR="00E86989" w:rsidRPr="00E86989" w:rsidRDefault="00E86989" w:rsidP="00AE18FF">
      <w:pPr>
        <w:pStyle w:val="Bibliografa"/>
        <w:spacing w:line="360" w:lineRule="auto"/>
        <w:jc w:val="both"/>
        <w:rPr>
          <w:rFonts w:ascii="Times New Roman" w:hAnsi="Times New Roman" w:cs="Times New Roman"/>
          <w:sz w:val="24"/>
        </w:rPr>
      </w:pPr>
      <w:r w:rsidRPr="00E86989">
        <w:rPr>
          <w:rFonts w:ascii="Times New Roman" w:hAnsi="Times New Roman" w:cs="Times New Roman"/>
          <w:sz w:val="24"/>
        </w:rPr>
        <w:t xml:space="preserve">Quiñones-Aguilar, E. E., Rincón-Enríquez, G., López-Pérez, L., Quiñones-Aguilar, E. E., Rincón-Enríquez, G., &amp; López-Pérez, L. (2020). Hongos micorrízicos nativos como promotores de crecimiento en plantas de guayaba (Psidium guajava L.). </w:t>
      </w:r>
      <w:r w:rsidRPr="00E86989">
        <w:rPr>
          <w:rFonts w:ascii="Times New Roman" w:hAnsi="Times New Roman" w:cs="Times New Roman"/>
          <w:i/>
          <w:iCs/>
          <w:sz w:val="24"/>
        </w:rPr>
        <w:t>Terra Latinoamericana</w:t>
      </w:r>
      <w:r w:rsidRPr="00E86989">
        <w:rPr>
          <w:rFonts w:ascii="Times New Roman" w:hAnsi="Times New Roman" w:cs="Times New Roman"/>
          <w:sz w:val="24"/>
        </w:rPr>
        <w:t xml:space="preserve">, </w:t>
      </w:r>
      <w:r w:rsidRPr="00E86989">
        <w:rPr>
          <w:rFonts w:ascii="Times New Roman" w:hAnsi="Times New Roman" w:cs="Times New Roman"/>
          <w:i/>
          <w:iCs/>
          <w:sz w:val="24"/>
        </w:rPr>
        <w:t>38</w:t>
      </w:r>
      <w:r w:rsidRPr="00E86989">
        <w:rPr>
          <w:rFonts w:ascii="Times New Roman" w:hAnsi="Times New Roman" w:cs="Times New Roman"/>
          <w:sz w:val="24"/>
        </w:rPr>
        <w:t>(3), 541-554. https://doi.org/10.28940/terra.v38i3.646</w:t>
      </w:r>
    </w:p>
    <w:p w14:paraId="61F46689" w14:textId="77777777" w:rsidR="00E86989" w:rsidRPr="00E86989" w:rsidRDefault="00E86989" w:rsidP="00AE18FF">
      <w:pPr>
        <w:pStyle w:val="Bibliografa"/>
        <w:spacing w:line="360" w:lineRule="auto"/>
        <w:jc w:val="both"/>
        <w:rPr>
          <w:rFonts w:ascii="Times New Roman" w:hAnsi="Times New Roman" w:cs="Times New Roman"/>
          <w:sz w:val="24"/>
        </w:rPr>
      </w:pPr>
      <w:r w:rsidRPr="00804ADE">
        <w:rPr>
          <w:rFonts w:ascii="Times New Roman" w:hAnsi="Times New Roman" w:cs="Times New Roman"/>
          <w:sz w:val="24"/>
        </w:rPr>
        <w:t xml:space="preserve">White, T. J. (s. f.). </w:t>
      </w:r>
      <w:r w:rsidRPr="00E86989">
        <w:rPr>
          <w:rFonts w:ascii="Times New Roman" w:hAnsi="Times New Roman" w:cs="Times New Roman"/>
          <w:sz w:val="24"/>
          <w:lang w:val="en-US"/>
        </w:rPr>
        <w:t xml:space="preserve">(PDF) Amplification and Direct Sequencing of Fungal Ribosomal Rna Genes for Phylogenetics. </w:t>
      </w:r>
      <w:r w:rsidRPr="00E86989">
        <w:rPr>
          <w:rFonts w:ascii="Times New Roman" w:hAnsi="Times New Roman" w:cs="Times New Roman"/>
          <w:sz w:val="24"/>
        </w:rPr>
        <w:t xml:space="preserve">En </w:t>
      </w:r>
      <w:r w:rsidRPr="00E86989">
        <w:rPr>
          <w:rFonts w:ascii="Times New Roman" w:hAnsi="Times New Roman" w:cs="Times New Roman"/>
          <w:i/>
          <w:iCs/>
          <w:sz w:val="24"/>
        </w:rPr>
        <w:t>ResearchGate</w:t>
      </w:r>
      <w:r w:rsidRPr="00E86989">
        <w:rPr>
          <w:rFonts w:ascii="Times New Roman" w:hAnsi="Times New Roman" w:cs="Times New Roman"/>
          <w:sz w:val="24"/>
        </w:rPr>
        <w:t>. https://doi.org/10.1016/B978-0-12-372180-8.50042-1</w:t>
      </w:r>
    </w:p>
    <w:p w14:paraId="780E72FA" w14:textId="77777777" w:rsidR="00E86989" w:rsidRPr="00E86989" w:rsidRDefault="00E86989" w:rsidP="00AE18FF">
      <w:pPr>
        <w:spacing w:line="360" w:lineRule="auto"/>
        <w:jc w:val="both"/>
        <w:rPr>
          <w:rFonts w:ascii="Times New Roman" w:hAnsi="Times New Roman" w:cs="Times New Roman"/>
          <w:b/>
          <w:sz w:val="24"/>
          <w:szCs w:val="24"/>
        </w:rPr>
      </w:pPr>
      <w:r>
        <w:rPr>
          <w:rFonts w:ascii="Times New Roman" w:hAnsi="Times New Roman" w:cs="Times New Roman"/>
          <w:b/>
          <w:sz w:val="24"/>
          <w:szCs w:val="24"/>
        </w:rPr>
        <w:fldChar w:fldCharType="end"/>
      </w:r>
    </w:p>
    <w:sectPr w:rsidR="00E86989" w:rsidRPr="00E86989" w:rsidSect="00804AD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2pt;height:12pt;visibility:visible;mso-wrap-style:square" o:bullet="t">
        <v:imagedata r:id="rId1" o:title=""/>
      </v:shape>
    </w:pict>
  </w:numPicBullet>
  <w:abstractNum w:abstractNumId="0" w15:restartNumberingAfterBreak="0">
    <w:nsid w:val="2F852E00"/>
    <w:multiLevelType w:val="hybridMultilevel"/>
    <w:tmpl w:val="C0BEAB02"/>
    <w:lvl w:ilvl="0" w:tplc="280A0007">
      <w:start w:val="1"/>
      <w:numFmt w:val="bullet"/>
      <w:lvlText w:val=""/>
      <w:lvlPicBulletId w:val="0"/>
      <w:lvlJc w:val="left"/>
      <w:pPr>
        <w:ind w:left="2670" w:hanging="360"/>
      </w:pPr>
      <w:rPr>
        <w:rFonts w:ascii="Symbol" w:hAnsi="Symbol" w:hint="default"/>
      </w:rPr>
    </w:lvl>
    <w:lvl w:ilvl="1" w:tplc="280A0003" w:tentative="1">
      <w:start w:val="1"/>
      <w:numFmt w:val="bullet"/>
      <w:lvlText w:val="o"/>
      <w:lvlJc w:val="left"/>
      <w:pPr>
        <w:ind w:left="3390" w:hanging="360"/>
      </w:pPr>
      <w:rPr>
        <w:rFonts w:ascii="Courier New" w:hAnsi="Courier New" w:cs="Courier New" w:hint="default"/>
      </w:rPr>
    </w:lvl>
    <w:lvl w:ilvl="2" w:tplc="280A0005" w:tentative="1">
      <w:start w:val="1"/>
      <w:numFmt w:val="bullet"/>
      <w:lvlText w:val=""/>
      <w:lvlJc w:val="left"/>
      <w:pPr>
        <w:ind w:left="4110" w:hanging="360"/>
      </w:pPr>
      <w:rPr>
        <w:rFonts w:ascii="Wingdings" w:hAnsi="Wingdings" w:hint="default"/>
      </w:rPr>
    </w:lvl>
    <w:lvl w:ilvl="3" w:tplc="280A0001" w:tentative="1">
      <w:start w:val="1"/>
      <w:numFmt w:val="bullet"/>
      <w:lvlText w:val=""/>
      <w:lvlJc w:val="left"/>
      <w:pPr>
        <w:ind w:left="4830" w:hanging="360"/>
      </w:pPr>
      <w:rPr>
        <w:rFonts w:ascii="Symbol" w:hAnsi="Symbol" w:hint="default"/>
      </w:rPr>
    </w:lvl>
    <w:lvl w:ilvl="4" w:tplc="280A0003" w:tentative="1">
      <w:start w:val="1"/>
      <w:numFmt w:val="bullet"/>
      <w:lvlText w:val="o"/>
      <w:lvlJc w:val="left"/>
      <w:pPr>
        <w:ind w:left="5550" w:hanging="360"/>
      </w:pPr>
      <w:rPr>
        <w:rFonts w:ascii="Courier New" w:hAnsi="Courier New" w:cs="Courier New" w:hint="default"/>
      </w:rPr>
    </w:lvl>
    <w:lvl w:ilvl="5" w:tplc="280A0005" w:tentative="1">
      <w:start w:val="1"/>
      <w:numFmt w:val="bullet"/>
      <w:lvlText w:val=""/>
      <w:lvlJc w:val="left"/>
      <w:pPr>
        <w:ind w:left="6270" w:hanging="360"/>
      </w:pPr>
      <w:rPr>
        <w:rFonts w:ascii="Wingdings" w:hAnsi="Wingdings" w:hint="default"/>
      </w:rPr>
    </w:lvl>
    <w:lvl w:ilvl="6" w:tplc="280A0001" w:tentative="1">
      <w:start w:val="1"/>
      <w:numFmt w:val="bullet"/>
      <w:lvlText w:val=""/>
      <w:lvlJc w:val="left"/>
      <w:pPr>
        <w:ind w:left="6990" w:hanging="360"/>
      </w:pPr>
      <w:rPr>
        <w:rFonts w:ascii="Symbol" w:hAnsi="Symbol" w:hint="default"/>
      </w:rPr>
    </w:lvl>
    <w:lvl w:ilvl="7" w:tplc="280A0003" w:tentative="1">
      <w:start w:val="1"/>
      <w:numFmt w:val="bullet"/>
      <w:lvlText w:val="o"/>
      <w:lvlJc w:val="left"/>
      <w:pPr>
        <w:ind w:left="7710" w:hanging="360"/>
      </w:pPr>
      <w:rPr>
        <w:rFonts w:ascii="Courier New" w:hAnsi="Courier New" w:cs="Courier New" w:hint="default"/>
      </w:rPr>
    </w:lvl>
    <w:lvl w:ilvl="8" w:tplc="280A0005" w:tentative="1">
      <w:start w:val="1"/>
      <w:numFmt w:val="bullet"/>
      <w:lvlText w:val=""/>
      <w:lvlJc w:val="left"/>
      <w:pPr>
        <w:ind w:left="8430" w:hanging="360"/>
      </w:pPr>
      <w:rPr>
        <w:rFonts w:ascii="Wingdings" w:hAnsi="Wingdings" w:hint="default"/>
      </w:rPr>
    </w:lvl>
  </w:abstractNum>
  <w:abstractNum w:abstractNumId="1" w15:restartNumberingAfterBreak="0">
    <w:nsid w:val="3CA95698"/>
    <w:multiLevelType w:val="hybridMultilevel"/>
    <w:tmpl w:val="A83A4618"/>
    <w:lvl w:ilvl="0" w:tplc="280A0007">
      <w:start w:val="1"/>
      <w:numFmt w:val="bullet"/>
      <w:lvlText w:val=""/>
      <w:lvlPicBulletId w:val="0"/>
      <w:lvlJc w:val="left"/>
      <w:pPr>
        <w:ind w:left="2427" w:hanging="360"/>
      </w:pPr>
      <w:rPr>
        <w:rFonts w:ascii="Symbol" w:hAnsi="Symbol" w:hint="default"/>
      </w:rPr>
    </w:lvl>
    <w:lvl w:ilvl="1" w:tplc="280A0003" w:tentative="1">
      <w:start w:val="1"/>
      <w:numFmt w:val="bullet"/>
      <w:lvlText w:val="o"/>
      <w:lvlJc w:val="left"/>
      <w:pPr>
        <w:ind w:left="3147" w:hanging="360"/>
      </w:pPr>
      <w:rPr>
        <w:rFonts w:ascii="Courier New" w:hAnsi="Courier New" w:cs="Courier New" w:hint="default"/>
      </w:rPr>
    </w:lvl>
    <w:lvl w:ilvl="2" w:tplc="280A0005" w:tentative="1">
      <w:start w:val="1"/>
      <w:numFmt w:val="bullet"/>
      <w:lvlText w:val=""/>
      <w:lvlJc w:val="left"/>
      <w:pPr>
        <w:ind w:left="3867" w:hanging="360"/>
      </w:pPr>
      <w:rPr>
        <w:rFonts w:ascii="Wingdings" w:hAnsi="Wingdings" w:hint="default"/>
      </w:rPr>
    </w:lvl>
    <w:lvl w:ilvl="3" w:tplc="280A0001" w:tentative="1">
      <w:start w:val="1"/>
      <w:numFmt w:val="bullet"/>
      <w:lvlText w:val=""/>
      <w:lvlJc w:val="left"/>
      <w:pPr>
        <w:ind w:left="4587" w:hanging="360"/>
      </w:pPr>
      <w:rPr>
        <w:rFonts w:ascii="Symbol" w:hAnsi="Symbol" w:hint="default"/>
      </w:rPr>
    </w:lvl>
    <w:lvl w:ilvl="4" w:tplc="280A0003" w:tentative="1">
      <w:start w:val="1"/>
      <w:numFmt w:val="bullet"/>
      <w:lvlText w:val="o"/>
      <w:lvlJc w:val="left"/>
      <w:pPr>
        <w:ind w:left="5307" w:hanging="360"/>
      </w:pPr>
      <w:rPr>
        <w:rFonts w:ascii="Courier New" w:hAnsi="Courier New" w:cs="Courier New" w:hint="default"/>
      </w:rPr>
    </w:lvl>
    <w:lvl w:ilvl="5" w:tplc="280A0005" w:tentative="1">
      <w:start w:val="1"/>
      <w:numFmt w:val="bullet"/>
      <w:lvlText w:val=""/>
      <w:lvlJc w:val="left"/>
      <w:pPr>
        <w:ind w:left="6027" w:hanging="360"/>
      </w:pPr>
      <w:rPr>
        <w:rFonts w:ascii="Wingdings" w:hAnsi="Wingdings" w:hint="default"/>
      </w:rPr>
    </w:lvl>
    <w:lvl w:ilvl="6" w:tplc="280A0001" w:tentative="1">
      <w:start w:val="1"/>
      <w:numFmt w:val="bullet"/>
      <w:lvlText w:val=""/>
      <w:lvlJc w:val="left"/>
      <w:pPr>
        <w:ind w:left="6747" w:hanging="360"/>
      </w:pPr>
      <w:rPr>
        <w:rFonts w:ascii="Symbol" w:hAnsi="Symbol" w:hint="default"/>
      </w:rPr>
    </w:lvl>
    <w:lvl w:ilvl="7" w:tplc="280A0003" w:tentative="1">
      <w:start w:val="1"/>
      <w:numFmt w:val="bullet"/>
      <w:lvlText w:val="o"/>
      <w:lvlJc w:val="left"/>
      <w:pPr>
        <w:ind w:left="7467" w:hanging="360"/>
      </w:pPr>
      <w:rPr>
        <w:rFonts w:ascii="Courier New" w:hAnsi="Courier New" w:cs="Courier New" w:hint="default"/>
      </w:rPr>
    </w:lvl>
    <w:lvl w:ilvl="8" w:tplc="280A0005" w:tentative="1">
      <w:start w:val="1"/>
      <w:numFmt w:val="bullet"/>
      <w:lvlText w:val=""/>
      <w:lvlJc w:val="left"/>
      <w:pPr>
        <w:ind w:left="8187" w:hanging="360"/>
      </w:pPr>
      <w:rPr>
        <w:rFonts w:ascii="Wingdings" w:hAnsi="Wingdings" w:hint="default"/>
      </w:rPr>
    </w:lvl>
  </w:abstractNum>
  <w:abstractNum w:abstractNumId="2" w15:restartNumberingAfterBreak="0">
    <w:nsid w:val="540D433B"/>
    <w:multiLevelType w:val="multilevel"/>
    <w:tmpl w:val="02DC1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CB2326"/>
    <w:multiLevelType w:val="multilevel"/>
    <w:tmpl w:val="3272A0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5338276">
    <w:abstractNumId w:val="3"/>
  </w:num>
  <w:num w:numId="2" w16cid:durableId="1196385978">
    <w:abstractNumId w:val="2"/>
  </w:num>
  <w:num w:numId="3" w16cid:durableId="818617989">
    <w:abstractNumId w:val="0"/>
  </w:num>
  <w:num w:numId="4" w16cid:durableId="1412267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A32"/>
    <w:rsid w:val="000F775F"/>
    <w:rsid w:val="00107DEC"/>
    <w:rsid w:val="0019715F"/>
    <w:rsid w:val="002713D4"/>
    <w:rsid w:val="002E564B"/>
    <w:rsid w:val="00305F97"/>
    <w:rsid w:val="0032330A"/>
    <w:rsid w:val="00375B7C"/>
    <w:rsid w:val="003F14BD"/>
    <w:rsid w:val="004E2A32"/>
    <w:rsid w:val="00531E32"/>
    <w:rsid w:val="005E0A77"/>
    <w:rsid w:val="006F78A4"/>
    <w:rsid w:val="00701BC5"/>
    <w:rsid w:val="00726983"/>
    <w:rsid w:val="007D3578"/>
    <w:rsid w:val="007E7885"/>
    <w:rsid w:val="00804ADE"/>
    <w:rsid w:val="00862C94"/>
    <w:rsid w:val="008B0996"/>
    <w:rsid w:val="00983C95"/>
    <w:rsid w:val="0098695C"/>
    <w:rsid w:val="009B00DA"/>
    <w:rsid w:val="009E2278"/>
    <w:rsid w:val="00A954B8"/>
    <w:rsid w:val="00AE18FF"/>
    <w:rsid w:val="00B1275A"/>
    <w:rsid w:val="00B25D29"/>
    <w:rsid w:val="00BC3958"/>
    <w:rsid w:val="00BC3A2A"/>
    <w:rsid w:val="00C81FF4"/>
    <w:rsid w:val="00DB7D6F"/>
    <w:rsid w:val="00DC75F0"/>
    <w:rsid w:val="00DF0FB6"/>
    <w:rsid w:val="00E1299D"/>
    <w:rsid w:val="00E6361A"/>
    <w:rsid w:val="00E86989"/>
    <w:rsid w:val="00EA3A41"/>
    <w:rsid w:val="00EE27CE"/>
    <w:rsid w:val="00F907F0"/>
    <w:rsid w:val="00FA3D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E3D42"/>
  <w15:chartTrackingRefBased/>
  <w15:docId w15:val="{21A34823-0EF6-4E37-90C8-85EF9CD64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4E2A32"/>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link w:val="Ttulo4Car"/>
    <w:uiPriority w:val="9"/>
    <w:qFormat/>
    <w:rsid w:val="004E2A32"/>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E2A32"/>
    <w:rPr>
      <w:rFonts w:ascii="Times New Roman" w:eastAsia="Times New Roman" w:hAnsi="Times New Roman" w:cs="Times New Roman"/>
      <w:b/>
      <w:bCs/>
      <w:sz w:val="27"/>
      <w:szCs w:val="27"/>
      <w:lang w:eastAsia="es-PE"/>
    </w:rPr>
  </w:style>
  <w:style w:type="character" w:customStyle="1" w:styleId="Ttulo4Car">
    <w:name w:val="Título 4 Car"/>
    <w:basedOn w:val="Fuentedeprrafopredeter"/>
    <w:link w:val="Ttulo4"/>
    <w:uiPriority w:val="9"/>
    <w:rsid w:val="004E2A32"/>
    <w:rPr>
      <w:rFonts w:ascii="Times New Roman" w:eastAsia="Times New Roman" w:hAnsi="Times New Roman" w:cs="Times New Roman"/>
      <w:b/>
      <w:bCs/>
      <w:sz w:val="24"/>
      <w:szCs w:val="24"/>
      <w:lang w:eastAsia="es-PE"/>
    </w:rPr>
  </w:style>
  <w:style w:type="paragraph" w:customStyle="1" w:styleId="ds-markdown-paragraph">
    <w:name w:val="ds-markdown-paragraph"/>
    <w:basedOn w:val="Normal"/>
    <w:rsid w:val="004E2A32"/>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4E2A32"/>
    <w:rPr>
      <w:b/>
      <w:bCs/>
    </w:rPr>
  </w:style>
  <w:style w:type="character" w:styleId="nfasis">
    <w:name w:val="Emphasis"/>
    <w:basedOn w:val="Fuentedeprrafopredeter"/>
    <w:uiPriority w:val="20"/>
    <w:qFormat/>
    <w:rsid w:val="004E2A32"/>
    <w:rPr>
      <w:i/>
      <w:iCs/>
    </w:rPr>
  </w:style>
  <w:style w:type="paragraph" w:styleId="Prrafodelista">
    <w:name w:val="List Paragraph"/>
    <w:basedOn w:val="Normal"/>
    <w:uiPriority w:val="34"/>
    <w:qFormat/>
    <w:rsid w:val="004E2A32"/>
    <w:pPr>
      <w:ind w:left="720"/>
      <w:contextualSpacing/>
    </w:pPr>
  </w:style>
  <w:style w:type="table" w:styleId="Tablaconcuadrcula">
    <w:name w:val="Table Grid"/>
    <w:basedOn w:val="Tablanormal"/>
    <w:uiPriority w:val="39"/>
    <w:rsid w:val="004E2A32"/>
    <w:pPr>
      <w:spacing w:after="0" w:line="240" w:lineRule="auto"/>
    </w:pPr>
    <w:rPr>
      <w:lang w:val="es-MX"/>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4E2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4E2A32"/>
    <w:rPr>
      <w:rFonts w:ascii="Courier New" w:eastAsia="Times New Roman" w:hAnsi="Courier New" w:cs="Courier New"/>
      <w:sz w:val="20"/>
      <w:szCs w:val="20"/>
      <w:lang w:eastAsia="es-PE"/>
    </w:rPr>
  </w:style>
  <w:style w:type="character" w:customStyle="1" w:styleId="y2iqfc">
    <w:name w:val="y2iqfc"/>
    <w:basedOn w:val="Fuentedeprrafopredeter"/>
    <w:rsid w:val="004E2A32"/>
  </w:style>
  <w:style w:type="paragraph" w:styleId="Bibliografa">
    <w:name w:val="Bibliography"/>
    <w:basedOn w:val="Normal"/>
    <w:next w:val="Normal"/>
    <w:uiPriority w:val="37"/>
    <w:unhideWhenUsed/>
    <w:rsid w:val="00E86989"/>
    <w:pPr>
      <w:spacing w:after="0" w:line="480" w:lineRule="auto"/>
      <w:ind w:left="720" w:hanging="720"/>
    </w:pPr>
  </w:style>
  <w:style w:type="character" w:styleId="Refdecomentario">
    <w:name w:val="annotation reference"/>
    <w:basedOn w:val="Fuentedeprrafopredeter"/>
    <w:uiPriority w:val="99"/>
    <w:semiHidden/>
    <w:unhideWhenUsed/>
    <w:rsid w:val="00DB7D6F"/>
    <w:rPr>
      <w:sz w:val="16"/>
      <w:szCs w:val="16"/>
    </w:rPr>
  </w:style>
  <w:style w:type="paragraph" w:styleId="Textocomentario">
    <w:name w:val="annotation text"/>
    <w:basedOn w:val="Normal"/>
    <w:link w:val="TextocomentarioCar"/>
    <w:uiPriority w:val="99"/>
    <w:unhideWhenUsed/>
    <w:rsid w:val="00DB7D6F"/>
    <w:pPr>
      <w:spacing w:line="240" w:lineRule="auto"/>
    </w:pPr>
    <w:rPr>
      <w:sz w:val="20"/>
      <w:szCs w:val="20"/>
    </w:rPr>
  </w:style>
  <w:style w:type="character" w:customStyle="1" w:styleId="TextocomentarioCar">
    <w:name w:val="Texto comentario Car"/>
    <w:basedOn w:val="Fuentedeprrafopredeter"/>
    <w:link w:val="Textocomentario"/>
    <w:uiPriority w:val="99"/>
    <w:rsid w:val="00DB7D6F"/>
    <w:rPr>
      <w:sz w:val="20"/>
      <w:szCs w:val="20"/>
    </w:rPr>
  </w:style>
  <w:style w:type="paragraph" w:styleId="Asuntodelcomentario">
    <w:name w:val="annotation subject"/>
    <w:basedOn w:val="Textocomentario"/>
    <w:next w:val="Textocomentario"/>
    <w:link w:val="AsuntodelcomentarioCar"/>
    <w:uiPriority w:val="99"/>
    <w:semiHidden/>
    <w:unhideWhenUsed/>
    <w:rsid w:val="00DB7D6F"/>
    <w:rPr>
      <w:b/>
      <w:bCs/>
    </w:rPr>
  </w:style>
  <w:style w:type="character" w:customStyle="1" w:styleId="AsuntodelcomentarioCar">
    <w:name w:val="Asunto del comentario Car"/>
    <w:basedOn w:val="TextocomentarioCar"/>
    <w:link w:val="Asuntodelcomentario"/>
    <w:uiPriority w:val="99"/>
    <w:semiHidden/>
    <w:rsid w:val="00DB7D6F"/>
    <w:rPr>
      <w:b/>
      <w:bCs/>
      <w:sz w:val="20"/>
      <w:szCs w:val="20"/>
    </w:rPr>
  </w:style>
  <w:style w:type="paragraph" w:styleId="Textodeglobo">
    <w:name w:val="Balloon Text"/>
    <w:basedOn w:val="Normal"/>
    <w:link w:val="TextodegloboCar"/>
    <w:uiPriority w:val="99"/>
    <w:semiHidden/>
    <w:unhideWhenUsed/>
    <w:rsid w:val="00804AD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04ADE"/>
    <w:rPr>
      <w:rFonts w:ascii="Segoe UI" w:hAnsi="Segoe UI" w:cs="Segoe UI"/>
      <w:sz w:val="18"/>
      <w:szCs w:val="18"/>
    </w:rPr>
  </w:style>
  <w:style w:type="paragraph" w:customStyle="1" w:styleId="selectable-text">
    <w:name w:val="selectable-text"/>
    <w:basedOn w:val="Normal"/>
    <w:rsid w:val="003F14B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selectable-text1">
    <w:name w:val="selectable-text1"/>
    <w:basedOn w:val="Fuentedeprrafopredeter"/>
    <w:rsid w:val="003F14BD"/>
  </w:style>
  <w:style w:type="paragraph" w:customStyle="1" w:styleId="Estilo2">
    <w:name w:val="Estilo2"/>
    <w:basedOn w:val="Normal"/>
    <w:next w:val="Subttulo"/>
    <w:link w:val="Estilo2Car"/>
    <w:autoRedefine/>
    <w:qFormat/>
    <w:rsid w:val="00375B7C"/>
    <w:pPr>
      <w:pBdr>
        <w:top w:val="nil"/>
        <w:left w:val="nil"/>
        <w:bottom w:val="nil"/>
        <w:right w:val="nil"/>
        <w:between w:val="nil"/>
      </w:pBdr>
      <w:spacing w:after="0" w:line="360" w:lineRule="auto"/>
      <w:ind w:left="426"/>
      <w:jc w:val="both"/>
    </w:pPr>
    <w:rPr>
      <w:rFonts w:ascii="Times New Roman" w:eastAsia="Times New Roman" w:hAnsi="Times New Roman" w:cs="Times New Roman"/>
      <w:iCs/>
      <w:color w:val="000000"/>
      <w:sz w:val="24"/>
      <w:szCs w:val="24"/>
      <w:lang w:eastAsia="es-PE"/>
    </w:rPr>
  </w:style>
  <w:style w:type="character" w:customStyle="1" w:styleId="Estilo2Car">
    <w:name w:val="Estilo2 Car"/>
    <w:basedOn w:val="Fuentedeprrafopredeter"/>
    <w:link w:val="Estilo2"/>
    <w:rsid w:val="00375B7C"/>
    <w:rPr>
      <w:rFonts w:ascii="Times New Roman" w:eastAsia="Times New Roman" w:hAnsi="Times New Roman" w:cs="Times New Roman"/>
      <w:iCs/>
      <w:color w:val="000000"/>
      <w:sz w:val="24"/>
      <w:szCs w:val="24"/>
      <w:lang w:eastAsia="es-PE"/>
    </w:rPr>
  </w:style>
  <w:style w:type="paragraph" w:styleId="Subttulo">
    <w:name w:val="Subtitle"/>
    <w:basedOn w:val="Normal"/>
    <w:next w:val="Normal"/>
    <w:link w:val="SubttuloCar"/>
    <w:uiPriority w:val="11"/>
    <w:qFormat/>
    <w:rsid w:val="00E1299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1299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89170">
      <w:bodyDiv w:val="1"/>
      <w:marLeft w:val="0"/>
      <w:marRight w:val="0"/>
      <w:marTop w:val="0"/>
      <w:marBottom w:val="0"/>
      <w:divBdr>
        <w:top w:val="none" w:sz="0" w:space="0" w:color="auto"/>
        <w:left w:val="none" w:sz="0" w:space="0" w:color="auto"/>
        <w:bottom w:val="none" w:sz="0" w:space="0" w:color="auto"/>
        <w:right w:val="none" w:sz="0" w:space="0" w:color="auto"/>
      </w:divBdr>
    </w:div>
    <w:div w:id="356733474">
      <w:bodyDiv w:val="1"/>
      <w:marLeft w:val="0"/>
      <w:marRight w:val="0"/>
      <w:marTop w:val="0"/>
      <w:marBottom w:val="0"/>
      <w:divBdr>
        <w:top w:val="none" w:sz="0" w:space="0" w:color="auto"/>
        <w:left w:val="none" w:sz="0" w:space="0" w:color="auto"/>
        <w:bottom w:val="none" w:sz="0" w:space="0" w:color="auto"/>
        <w:right w:val="none" w:sz="0" w:space="0" w:color="auto"/>
      </w:divBdr>
    </w:div>
    <w:div w:id="888495176">
      <w:bodyDiv w:val="1"/>
      <w:marLeft w:val="0"/>
      <w:marRight w:val="0"/>
      <w:marTop w:val="0"/>
      <w:marBottom w:val="0"/>
      <w:divBdr>
        <w:top w:val="none" w:sz="0" w:space="0" w:color="auto"/>
        <w:left w:val="none" w:sz="0" w:space="0" w:color="auto"/>
        <w:bottom w:val="none" w:sz="0" w:space="0" w:color="auto"/>
        <w:right w:val="none" w:sz="0" w:space="0" w:color="auto"/>
      </w:divBdr>
    </w:div>
    <w:div w:id="1393117227">
      <w:bodyDiv w:val="1"/>
      <w:marLeft w:val="0"/>
      <w:marRight w:val="0"/>
      <w:marTop w:val="0"/>
      <w:marBottom w:val="0"/>
      <w:divBdr>
        <w:top w:val="none" w:sz="0" w:space="0" w:color="auto"/>
        <w:left w:val="none" w:sz="0" w:space="0" w:color="auto"/>
        <w:bottom w:val="none" w:sz="0" w:space="0" w:color="auto"/>
        <w:right w:val="none" w:sz="0" w:space="0" w:color="auto"/>
      </w:divBdr>
    </w:div>
    <w:div w:id="2137794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6419</Words>
  <Characters>35306</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Microsoft Office User</cp:lastModifiedBy>
  <cp:revision>6</cp:revision>
  <dcterms:created xsi:type="dcterms:W3CDTF">2025-06-05T05:05:00Z</dcterms:created>
  <dcterms:modified xsi:type="dcterms:W3CDTF">2025-06-06T23:09:00Z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id="pPfyQMTK"/&gt;&lt;style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