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78A89" w14:textId="77777777" w:rsidR="00B83323" w:rsidRPr="00151E95" w:rsidRDefault="00B83323" w:rsidP="0057069D">
      <w:pPr>
        <w:pStyle w:val="Prrafodelista"/>
        <w:numPr>
          <w:ilvl w:val="0"/>
          <w:numId w:val="1"/>
        </w:numPr>
        <w:spacing w:line="360" w:lineRule="auto"/>
        <w:jc w:val="both"/>
        <w:rPr>
          <w:rFonts w:ascii="Times New Roman" w:hAnsi="Times New Roman" w:cs="Times New Roman"/>
          <w:b/>
          <w:sz w:val="24"/>
        </w:rPr>
      </w:pPr>
      <w:r w:rsidRPr="00151E95">
        <w:rPr>
          <w:rFonts w:ascii="Times New Roman" w:hAnsi="Times New Roman" w:cs="Times New Roman"/>
          <w:b/>
          <w:sz w:val="24"/>
        </w:rPr>
        <w:t>TÍTULO</w:t>
      </w:r>
    </w:p>
    <w:p w14:paraId="088AA195" w14:textId="77777777" w:rsidR="00B83323" w:rsidRPr="00151E95" w:rsidRDefault="00B83323" w:rsidP="0057069D">
      <w:pPr>
        <w:spacing w:line="360" w:lineRule="auto"/>
        <w:jc w:val="both"/>
        <w:rPr>
          <w:rFonts w:ascii="Times New Roman" w:hAnsi="Times New Roman" w:cs="Times New Roman"/>
          <w:sz w:val="24"/>
        </w:rPr>
      </w:pPr>
      <w:r w:rsidRPr="00151E95">
        <w:rPr>
          <w:rFonts w:ascii="Times New Roman" w:hAnsi="Times New Roman" w:cs="Times New Roman"/>
          <w:sz w:val="24"/>
        </w:rPr>
        <w:t>Análisis molecular de hongos patógenos en guayaba: Una aproximación metodológica para la identificación de especies.</w:t>
      </w:r>
    </w:p>
    <w:p w14:paraId="4965959D" w14:textId="77777777" w:rsidR="00B83323" w:rsidRDefault="00B83323" w:rsidP="0057069D">
      <w:pPr>
        <w:pStyle w:val="Prrafodelista"/>
        <w:numPr>
          <w:ilvl w:val="0"/>
          <w:numId w:val="1"/>
        </w:numPr>
        <w:spacing w:line="360" w:lineRule="auto"/>
        <w:jc w:val="both"/>
        <w:rPr>
          <w:rFonts w:ascii="Times New Roman" w:hAnsi="Times New Roman" w:cs="Times New Roman"/>
          <w:b/>
          <w:sz w:val="24"/>
        </w:rPr>
      </w:pPr>
      <w:r w:rsidRPr="00151E95">
        <w:rPr>
          <w:rFonts w:ascii="Times New Roman" w:hAnsi="Times New Roman" w:cs="Times New Roman"/>
          <w:b/>
          <w:sz w:val="24"/>
        </w:rPr>
        <w:t>PROBLEMA</w:t>
      </w:r>
    </w:p>
    <w:p w14:paraId="5929829F" w14:textId="77777777" w:rsidR="0057069D" w:rsidRPr="0057069D" w:rsidRDefault="0057069D" w:rsidP="0057069D">
      <w:pPr>
        <w:pStyle w:val="ds-markdown-paragraph"/>
        <w:shd w:val="clear" w:color="auto" w:fill="FFFFFF"/>
        <w:spacing w:before="206" w:beforeAutospacing="0" w:after="206" w:afterAutospacing="0" w:line="360" w:lineRule="auto"/>
        <w:ind w:firstLine="708"/>
        <w:jc w:val="both"/>
      </w:pPr>
      <w:r w:rsidRPr="0057069D">
        <w:t>La guayaba (</w:t>
      </w:r>
      <w:proofErr w:type="spellStart"/>
      <w:r w:rsidRPr="0057069D">
        <w:rPr>
          <w:rStyle w:val="nfasis"/>
        </w:rPr>
        <w:t>Psidium</w:t>
      </w:r>
      <w:proofErr w:type="spellEnd"/>
      <w:r w:rsidRPr="0057069D">
        <w:rPr>
          <w:rStyle w:val="nfasis"/>
        </w:rPr>
        <w:t xml:space="preserve"> </w:t>
      </w:r>
      <w:proofErr w:type="spellStart"/>
      <w:r w:rsidRPr="0057069D">
        <w:rPr>
          <w:rStyle w:val="nfasis"/>
        </w:rPr>
        <w:t>guajava</w:t>
      </w:r>
      <w:proofErr w:type="spellEnd"/>
      <w:r w:rsidRPr="0057069D">
        <w:t> L.) es un cultivo de importancia económica en regiones tropicales y subtropicales, valorado por su alto contenido nutricional y su demanda en mercados locales e internacionales (FAO, 2022). Sin embargo, su producción se ve afectada por enfermedades fúngicas que reducen el rendimiento y la calidad del fruto. Entre los principales patógenos se encuentran especies de los géneros </w:t>
      </w:r>
      <w:r w:rsidRPr="0057069D">
        <w:rPr>
          <w:rStyle w:val="nfasis"/>
        </w:rPr>
        <w:t>Colletotrichum</w:t>
      </w:r>
      <w:r w:rsidRPr="0057069D">
        <w:t>, </w:t>
      </w:r>
      <w:r w:rsidRPr="0057069D">
        <w:rPr>
          <w:rStyle w:val="nfasis"/>
        </w:rPr>
        <w:t>Fusarium</w:t>
      </w:r>
      <w:r w:rsidRPr="0057069D">
        <w:t> y </w:t>
      </w:r>
      <w:proofErr w:type="spellStart"/>
      <w:r w:rsidRPr="0057069D">
        <w:rPr>
          <w:rStyle w:val="nfasis"/>
        </w:rPr>
        <w:t>Phytophthora</w:t>
      </w:r>
      <w:proofErr w:type="spellEnd"/>
      <w:r w:rsidRPr="0057069D">
        <w:t>, cuyas infecciones generan pérdidas económicas significativas (Sánchez-Téllez et al., 2020).</w:t>
      </w:r>
    </w:p>
    <w:p w14:paraId="2884FEC1" w14:textId="77777777" w:rsidR="0057069D" w:rsidRPr="0057069D" w:rsidRDefault="0057069D" w:rsidP="0057069D">
      <w:pPr>
        <w:pStyle w:val="ds-markdown-paragraph"/>
        <w:shd w:val="clear" w:color="auto" w:fill="FFFFFF"/>
        <w:spacing w:before="206" w:beforeAutospacing="0" w:after="206" w:afterAutospacing="0" w:line="360" w:lineRule="auto"/>
        <w:ind w:firstLine="708"/>
        <w:jc w:val="both"/>
      </w:pPr>
      <w:r w:rsidRPr="0057069D">
        <w:t>La identificación tradicional de hongos patógenos, basada en características morfológicas, presenta limitaciones en precisión debido a la variabilidad fenotípica y la posible coexistencia de especies crípticas (Hyde et al., 2019). Ante esto, el análisis molecular, mediante técnicas como la secuenciación de regiones genómicas conservadas (ITS, β-tubulina, TEF-1α), surge como una herramienta robusta para la identificación taxonómica precisa (White et al., 2022). No obstante, en el contexto agronómico de la guayaba, persisten vacíos en la estandarización metodológica para el diagnóstico molecular de estos patógenos, lo que dificulta el diseño de estrategias de manejo fitosanitario eficientes.</w:t>
      </w:r>
    </w:p>
    <w:p w14:paraId="112E08A9" w14:textId="77777777" w:rsidR="0057069D" w:rsidRDefault="0057069D" w:rsidP="0057069D">
      <w:pPr>
        <w:pStyle w:val="ds-markdown-paragraph"/>
        <w:numPr>
          <w:ilvl w:val="0"/>
          <w:numId w:val="3"/>
        </w:numPr>
        <w:shd w:val="clear" w:color="auto" w:fill="FFFFFF"/>
        <w:spacing w:before="206" w:beforeAutospacing="0" w:after="206" w:afterAutospacing="0" w:line="360" w:lineRule="auto"/>
        <w:jc w:val="both"/>
        <w:rPr>
          <w:rStyle w:val="Textoennegrita"/>
        </w:rPr>
      </w:pPr>
      <w:r w:rsidRPr="0057069D">
        <w:rPr>
          <w:rStyle w:val="Textoennegrita"/>
        </w:rPr>
        <w:t>Pregunta de investigación</w:t>
      </w:r>
    </w:p>
    <w:p w14:paraId="2E0EE701" w14:textId="77777777" w:rsidR="0057069D" w:rsidRDefault="0057069D" w:rsidP="0057069D">
      <w:pPr>
        <w:pStyle w:val="ds-markdown-paragraph"/>
        <w:shd w:val="clear" w:color="auto" w:fill="FFFFFF"/>
        <w:spacing w:before="206" w:beforeAutospacing="0" w:after="206" w:afterAutospacing="0" w:line="360" w:lineRule="auto"/>
        <w:jc w:val="both"/>
      </w:pPr>
      <w:r w:rsidRPr="0057069D">
        <w:t xml:space="preserve">¿Cómo puede optimizarse una metodología molecular basada en marcadores genéticos </w:t>
      </w:r>
      <w:r w:rsidR="00DC601C">
        <w:t xml:space="preserve">y caracterización morfológica </w:t>
      </w:r>
      <w:r w:rsidRPr="0057069D">
        <w:t>para la identificación precisa de especies fúngicas patógenas en cultivos de guayaba</w:t>
      </w:r>
      <w:r w:rsidR="00DC601C">
        <w:t>?</w:t>
      </w:r>
    </w:p>
    <w:p w14:paraId="0CC0E044" w14:textId="77777777" w:rsidR="003F2511" w:rsidRDefault="003F2511" w:rsidP="003F2511">
      <w:pPr>
        <w:pStyle w:val="Prrafodelista"/>
        <w:numPr>
          <w:ilvl w:val="0"/>
          <w:numId w:val="1"/>
        </w:numPr>
        <w:jc w:val="both"/>
        <w:rPr>
          <w:rFonts w:ascii="Times New Roman" w:hAnsi="Times New Roman" w:cs="Times New Roman"/>
          <w:b/>
          <w:sz w:val="24"/>
        </w:rPr>
      </w:pPr>
      <w:r w:rsidRPr="00151E95">
        <w:rPr>
          <w:rFonts w:ascii="Times New Roman" w:hAnsi="Times New Roman" w:cs="Times New Roman"/>
          <w:b/>
          <w:sz w:val="24"/>
        </w:rPr>
        <w:t>OBJETIVOS</w:t>
      </w:r>
    </w:p>
    <w:p w14:paraId="5E684E71" w14:textId="77777777" w:rsidR="003F2511" w:rsidRPr="00151E95" w:rsidRDefault="003F2511" w:rsidP="003F2511">
      <w:pPr>
        <w:pStyle w:val="Prrafodelista"/>
        <w:jc w:val="both"/>
        <w:rPr>
          <w:rFonts w:ascii="Times New Roman" w:hAnsi="Times New Roman" w:cs="Times New Roman"/>
          <w:b/>
          <w:sz w:val="24"/>
        </w:rPr>
      </w:pPr>
    </w:p>
    <w:p w14:paraId="629638AA" w14:textId="77777777" w:rsidR="003F2511" w:rsidRPr="003F2511" w:rsidRDefault="00BB3D00" w:rsidP="00DC601C">
      <w:pPr>
        <w:pStyle w:val="Prrafodelista"/>
        <w:numPr>
          <w:ilvl w:val="1"/>
          <w:numId w:val="1"/>
        </w:numPr>
        <w:shd w:val="clear" w:color="auto" w:fill="FFFFFF"/>
        <w:spacing w:before="120" w:after="0" w:line="360" w:lineRule="auto"/>
        <w:ind w:left="1134" w:hanging="357"/>
        <w:jc w:val="both"/>
        <w:outlineLvl w:val="3"/>
        <w:rPr>
          <w:rFonts w:ascii="Times New Roman" w:eastAsia="Times New Roman" w:hAnsi="Times New Roman" w:cs="Times New Roman"/>
          <w:sz w:val="24"/>
          <w:szCs w:val="24"/>
          <w:lang w:eastAsia="es-PE"/>
        </w:rPr>
      </w:pPr>
      <w:r>
        <w:rPr>
          <w:rFonts w:ascii="Times New Roman" w:eastAsia="Times New Roman" w:hAnsi="Times New Roman" w:cs="Times New Roman"/>
          <w:b/>
          <w:bCs/>
          <w:sz w:val="24"/>
          <w:szCs w:val="24"/>
          <w:lang w:eastAsia="es-PE"/>
        </w:rPr>
        <w:t xml:space="preserve"> </w:t>
      </w:r>
      <w:r w:rsidR="003F2511" w:rsidRPr="003F2511">
        <w:rPr>
          <w:rFonts w:ascii="Times New Roman" w:eastAsia="Times New Roman" w:hAnsi="Times New Roman" w:cs="Times New Roman"/>
          <w:b/>
          <w:bCs/>
          <w:sz w:val="24"/>
          <w:szCs w:val="24"/>
          <w:lang w:eastAsia="es-PE"/>
        </w:rPr>
        <w:t>Objetivo general</w:t>
      </w:r>
    </w:p>
    <w:p w14:paraId="3808B603" w14:textId="77777777" w:rsidR="003F2511" w:rsidRPr="003F2511" w:rsidRDefault="003F2511" w:rsidP="003F2511">
      <w:pPr>
        <w:shd w:val="clear" w:color="auto" w:fill="FFFFFF"/>
        <w:spacing w:after="0" w:line="360" w:lineRule="auto"/>
        <w:jc w:val="both"/>
        <w:rPr>
          <w:rFonts w:ascii="Times New Roman" w:eastAsia="Times New Roman" w:hAnsi="Times New Roman" w:cs="Times New Roman"/>
          <w:sz w:val="24"/>
          <w:szCs w:val="24"/>
          <w:lang w:eastAsia="es-PE"/>
        </w:rPr>
      </w:pPr>
      <w:r w:rsidRPr="003F2511">
        <w:rPr>
          <w:rFonts w:ascii="Times New Roman" w:eastAsia="Times New Roman" w:hAnsi="Times New Roman" w:cs="Times New Roman"/>
          <w:sz w:val="24"/>
          <w:szCs w:val="24"/>
          <w:lang w:eastAsia="es-PE"/>
        </w:rPr>
        <w:t>Desarrollar y validar una metodología molecular basada en marcadores genéticos para la identificación precisa de especies fúngicas patógenas en cultivos de guayaba (</w:t>
      </w:r>
      <w:proofErr w:type="spellStart"/>
      <w:r w:rsidRPr="003F2511">
        <w:rPr>
          <w:rFonts w:ascii="Times New Roman" w:eastAsia="Times New Roman" w:hAnsi="Times New Roman" w:cs="Times New Roman"/>
          <w:i/>
          <w:iCs/>
          <w:sz w:val="24"/>
          <w:szCs w:val="24"/>
          <w:lang w:eastAsia="es-PE"/>
        </w:rPr>
        <w:t>Psidium</w:t>
      </w:r>
      <w:proofErr w:type="spellEnd"/>
      <w:r w:rsidRPr="003F2511">
        <w:rPr>
          <w:rFonts w:ascii="Times New Roman" w:eastAsia="Times New Roman" w:hAnsi="Times New Roman" w:cs="Times New Roman"/>
          <w:i/>
          <w:iCs/>
          <w:sz w:val="24"/>
          <w:szCs w:val="24"/>
          <w:lang w:eastAsia="es-PE"/>
        </w:rPr>
        <w:t xml:space="preserve"> </w:t>
      </w:r>
      <w:proofErr w:type="spellStart"/>
      <w:r w:rsidRPr="003F2511">
        <w:rPr>
          <w:rFonts w:ascii="Times New Roman" w:eastAsia="Times New Roman" w:hAnsi="Times New Roman" w:cs="Times New Roman"/>
          <w:i/>
          <w:iCs/>
          <w:sz w:val="24"/>
          <w:szCs w:val="24"/>
          <w:lang w:eastAsia="es-PE"/>
        </w:rPr>
        <w:t>guajava</w:t>
      </w:r>
      <w:proofErr w:type="spellEnd"/>
      <w:r w:rsidRPr="003F2511">
        <w:rPr>
          <w:rFonts w:ascii="Times New Roman" w:eastAsia="Times New Roman" w:hAnsi="Times New Roman" w:cs="Times New Roman"/>
          <w:sz w:val="24"/>
          <w:szCs w:val="24"/>
          <w:lang w:eastAsia="es-PE"/>
        </w:rPr>
        <w:t> L.), correlacionando los resultados con la sintomatología fitopatológica observada en campo.</w:t>
      </w:r>
    </w:p>
    <w:p w14:paraId="413B6C47" w14:textId="77777777" w:rsidR="003F2511" w:rsidRPr="00BB3D00" w:rsidRDefault="00BB3D00" w:rsidP="00BB3D00">
      <w:pPr>
        <w:pStyle w:val="Prrafodelista"/>
        <w:numPr>
          <w:ilvl w:val="1"/>
          <w:numId w:val="1"/>
        </w:numPr>
        <w:shd w:val="clear" w:color="auto" w:fill="FFFFFF"/>
        <w:spacing w:after="0" w:line="360" w:lineRule="auto"/>
        <w:jc w:val="both"/>
        <w:outlineLvl w:val="3"/>
        <w:rPr>
          <w:rFonts w:ascii="Times New Roman" w:eastAsia="Times New Roman" w:hAnsi="Times New Roman" w:cs="Times New Roman"/>
          <w:sz w:val="24"/>
          <w:szCs w:val="24"/>
          <w:lang w:eastAsia="es-PE"/>
        </w:rPr>
      </w:pPr>
      <w:r>
        <w:rPr>
          <w:rFonts w:ascii="Times New Roman" w:eastAsia="Times New Roman" w:hAnsi="Times New Roman" w:cs="Times New Roman"/>
          <w:b/>
          <w:bCs/>
          <w:sz w:val="24"/>
          <w:szCs w:val="24"/>
          <w:lang w:eastAsia="es-PE"/>
        </w:rPr>
        <w:lastRenderedPageBreak/>
        <w:t xml:space="preserve"> </w:t>
      </w:r>
      <w:r w:rsidR="003F2511" w:rsidRPr="00BB3D00">
        <w:rPr>
          <w:rFonts w:ascii="Times New Roman" w:eastAsia="Times New Roman" w:hAnsi="Times New Roman" w:cs="Times New Roman"/>
          <w:b/>
          <w:bCs/>
          <w:sz w:val="24"/>
          <w:szCs w:val="24"/>
          <w:lang w:eastAsia="es-PE"/>
        </w:rPr>
        <w:t>Objetivos específicos</w:t>
      </w:r>
    </w:p>
    <w:p w14:paraId="1FB5BBCF" w14:textId="77777777" w:rsidR="003F2511" w:rsidRPr="003F2511" w:rsidRDefault="003F2511" w:rsidP="00BB3D00">
      <w:pPr>
        <w:numPr>
          <w:ilvl w:val="0"/>
          <w:numId w:val="6"/>
        </w:numPr>
        <w:shd w:val="clear" w:color="auto" w:fill="FFFFFF"/>
        <w:spacing w:after="0" w:line="360" w:lineRule="auto"/>
        <w:ind w:left="714" w:hanging="357"/>
        <w:jc w:val="both"/>
        <w:rPr>
          <w:rFonts w:ascii="Times New Roman" w:eastAsia="Times New Roman" w:hAnsi="Times New Roman" w:cs="Times New Roman"/>
          <w:sz w:val="24"/>
          <w:szCs w:val="24"/>
          <w:lang w:eastAsia="es-PE"/>
        </w:rPr>
      </w:pPr>
      <w:r w:rsidRPr="00BB3D00">
        <w:rPr>
          <w:rFonts w:ascii="Times New Roman" w:eastAsia="Times New Roman" w:hAnsi="Times New Roman" w:cs="Times New Roman"/>
          <w:bCs/>
          <w:sz w:val="24"/>
          <w:szCs w:val="24"/>
          <w:lang w:eastAsia="es-PE"/>
        </w:rPr>
        <w:t>Aislar e identificar morfológicamente</w:t>
      </w:r>
      <w:r w:rsidRPr="003F2511">
        <w:rPr>
          <w:rFonts w:ascii="Times New Roman" w:eastAsia="Times New Roman" w:hAnsi="Times New Roman" w:cs="Times New Roman"/>
          <w:sz w:val="24"/>
          <w:szCs w:val="24"/>
          <w:lang w:eastAsia="es-PE"/>
        </w:rPr>
        <w:t xml:space="preserve"> hongos patógenos asociados a lesiones en frutos y hojas de guayaba, utilizando técnicas </w:t>
      </w:r>
      <w:r w:rsidR="00BB3D00">
        <w:rPr>
          <w:rFonts w:ascii="Times New Roman" w:eastAsia="Times New Roman" w:hAnsi="Times New Roman" w:cs="Times New Roman"/>
          <w:sz w:val="24"/>
          <w:szCs w:val="24"/>
          <w:lang w:eastAsia="es-PE"/>
        </w:rPr>
        <w:t>moleculares y caracterización morfológica.</w:t>
      </w:r>
    </w:p>
    <w:p w14:paraId="19F2A9C7" w14:textId="77777777" w:rsidR="003F2511" w:rsidRPr="003F2511" w:rsidRDefault="003F2511" w:rsidP="00BB3D00">
      <w:pPr>
        <w:numPr>
          <w:ilvl w:val="0"/>
          <w:numId w:val="6"/>
        </w:numPr>
        <w:shd w:val="clear" w:color="auto" w:fill="FFFFFF"/>
        <w:spacing w:after="0" w:line="360" w:lineRule="auto"/>
        <w:ind w:left="714" w:hanging="357"/>
        <w:jc w:val="both"/>
        <w:rPr>
          <w:rFonts w:ascii="Times New Roman" w:eastAsia="Times New Roman" w:hAnsi="Times New Roman" w:cs="Times New Roman"/>
          <w:sz w:val="24"/>
          <w:szCs w:val="24"/>
          <w:lang w:eastAsia="es-PE"/>
        </w:rPr>
      </w:pPr>
      <w:r w:rsidRPr="00BB3D00">
        <w:rPr>
          <w:rFonts w:ascii="Times New Roman" w:eastAsia="Times New Roman" w:hAnsi="Times New Roman" w:cs="Times New Roman"/>
          <w:bCs/>
          <w:sz w:val="24"/>
          <w:szCs w:val="24"/>
          <w:lang w:eastAsia="es-PE"/>
        </w:rPr>
        <w:t>Amplificar y secuenciar regiones genéticas conservadas</w:t>
      </w:r>
      <w:r w:rsidRPr="003F2511">
        <w:rPr>
          <w:rFonts w:ascii="Times New Roman" w:eastAsia="Times New Roman" w:hAnsi="Times New Roman" w:cs="Times New Roman"/>
          <w:sz w:val="24"/>
          <w:szCs w:val="24"/>
          <w:lang w:eastAsia="es-PE"/>
        </w:rPr>
        <w:t> (ITS, β-tubulina, TEF-1α) para la identificación molecular de las especies fúngicas presentes.</w:t>
      </w:r>
    </w:p>
    <w:p w14:paraId="0D67E5E7" w14:textId="77777777" w:rsidR="003F2511" w:rsidRPr="003F2511" w:rsidRDefault="003F2511" w:rsidP="00BB3D00">
      <w:pPr>
        <w:numPr>
          <w:ilvl w:val="0"/>
          <w:numId w:val="6"/>
        </w:numPr>
        <w:shd w:val="clear" w:color="auto" w:fill="FFFFFF"/>
        <w:spacing w:after="0" w:line="360" w:lineRule="auto"/>
        <w:ind w:left="714" w:hanging="357"/>
        <w:jc w:val="both"/>
        <w:rPr>
          <w:rFonts w:ascii="Times New Roman" w:eastAsia="Times New Roman" w:hAnsi="Times New Roman" w:cs="Times New Roman"/>
          <w:sz w:val="24"/>
          <w:szCs w:val="24"/>
          <w:lang w:eastAsia="es-PE"/>
        </w:rPr>
      </w:pPr>
      <w:r w:rsidRPr="00BB3D00">
        <w:rPr>
          <w:rFonts w:ascii="Times New Roman" w:eastAsia="Times New Roman" w:hAnsi="Times New Roman" w:cs="Times New Roman"/>
          <w:bCs/>
          <w:sz w:val="24"/>
          <w:szCs w:val="24"/>
          <w:lang w:eastAsia="es-PE"/>
        </w:rPr>
        <w:t>Analizar filogenéticamente</w:t>
      </w:r>
      <w:r w:rsidRPr="003F2511">
        <w:rPr>
          <w:rFonts w:ascii="Times New Roman" w:eastAsia="Times New Roman" w:hAnsi="Times New Roman" w:cs="Times New Roman"/>
          <w:sz w:val="24"/>
          <w:szCs w:val="24"/>
          <w:lang w:eastAsia="es-PE"/>
        </w:rPr>
        <w:t xml:space="preserve"> las secuencias obtenidas mediante </w:t>
      </w:r>
      <w:r w:rsidR="00DC601C">
        <w:rPr>
          <w:rFonts w:ascii="Times New Roman" w:eastAsia="Times New Roman" w:hAnsi="Times New Roman" w:cs="Times New Roman"/>
          <w:sz w:val="24"/>
          <w:szCs w:val="24"/>
          <w:lang w:eastAsia="es-PE"/>
        </w:rPr>
        <w:t xml:space="preserve">la </w:t>
      </w:r>
      <w:r w:rsidRPr="003F2511">
        <w:rPr>
          <w:rFonts w:ascii="Times New Roman" w:eastAsia="Times New Roman" w:hAnsi="Times New Roman" w:cs="Times New Roman"/>
          <w:sz w:val="24"/>
          <w:szCs w:val="24"/>
          <w:lang w:eastAsia="es-PE"/>
        </w:rPr>
        <w:t>herramienta bioinformática (BLAST) para determinar la diversidad de especies patógenas en el cultivo.</w:t>
      </w:r>
    </w:p>
    <w:p w14:paraId="65EB81A4" w14:textId="77777777" w:rsidR="0057069D" w:rsidRPr="0057069D" w:rsidRDefault="0057069D" w:rsidP="0057069D">
      <w:pPr>
        <w:pStyle w:val="ds-markdown-paragraph"/>
        <w:shd w:val="clear" w:color="auto" w:fill="FFFFFF"/>
        <w:spacing w:before="206" w:beforeAutospacing="0" w:after="206" w:afterAutospacing="0" w:line="360" w:lineRule="auto"/>
        <w:jc w:val="both"/>
      </w:pPr>
      <w:r w:rsidRPr="0057069D">
        <w:rPr>
          <w:rStyle w:val="Textoennegrita"/>
        </w:rPr>
        <w:t xml:space="preserve">Referencias </w:t>
      </w:r>
      <w:r>
        <w:rPr>
          <w:rStyle w:val="Textoennegrita"/>
        </w:rPr>
        <w:t>bibliográficas</w:t>
      </w:r>
    </w:p>
    <w:p w14:paraId="16D96FA9" w14:textId="77777777" w:rsidR="0057069D" w:rsidRPr="0057069D" w:rsidRDefault="0057069D" w:rsidP="0057069D">
      <w:pPr>
        <w:pStyle w:val="ds-markdown-paragraph"/>
        <w:shd w:val="clear" w:color="auto" w:fill="FFFFFF"/>
        <w:spacing w:before="0" w:beforeAutospacing="0" w:after="0" w:afterAutospacing="0" w:line="360" w:lineRule="auto"/>
        <w:ind w:left="709" w:hanging="709"/>
        <w:jc w:val="both"/>
      </w:pPr>
      <w:r w:rsidRPr="0057069D">
        <w:t>FAO. (2022). </w:t>
      </w:r>
      <w:r w:rsidRPr="0057069D">
        <w:rPr>
          <w:rStyle w:val="nfasis"/>
        </w:rPr>
        <w:t>El estado mundial de la agricultura y la alimentación: Mejorar los sistemas agroalimentarios en favor de la resiliencia</w:t>
      </w:r>
      <w:r w:rsidRPr="0057069D">
        <w:t>. Organización de las Naciones Unidas para la Alimentación y la Agricultura. </w:t>
      </w:r>
      <w:hyperlink r:id="rId5" w:tgtFrame="_blank" w:history="1">
        <w:r w:rsidRPr="0057069D">
          <w:rPr>
            <w:lang w:val="en-US"/>
          </w:rPr>
          <w:t>https://doi.org/10.4060/cc2621es</w:t>
        </w:r>
      </w:hyperlink>
    </w:p>
    <w:p w14:paraId="2E9D5C45" w14:textId="77777777" w:rsidR="0057069D" w:rsidRPr="0057069D" w:rsidRDefault="0057069D" w:rsidP="0057069D">
      <w:pPr>
        <w:pStyle w:val="ds-markdown-paragraph"/>
        <w:shd w:val="clear" w:color="auto" w:fill="FFFFFF"/>
        <w:spacing w:before="0" w:beforeAutospacing="0" w:after="0" w:afterAutospacing="0" w:line="360" w:lineRule="auto"/>
        <w:ind w:left="709" w:hanging="709"/>
        <w:jc w:val="both"/>
      </w:pPr>
      <w:r w:rsidRPr="0057069D">
        <w:rPr>
          <w:lang w:val="en-US"/>
        </w:rPr>
        <w:t xml:space="preserve">Hyde, K. D., Xu, J., </w:t>
      </w:r>
      <w:proofErr w:type="spellStart"/>
      <w:r w:rsidRPr="0057069D">
        <w:rPr>
          <w:lang w:val="en-US"/>
        </w:rPr>
        <w:t>Rapior</w:t>
      </w:r>
      <w:proofErr w:type="spellEnd"/>
      <w:r w:rsidRPr="0057069D">
        <w:rPr>
          <w:lang w:val="en-US"/>
        </w:rPr>
        <w:t xml:space="preserve">, S., </w:t>
      </w:r>
      <w:proofErr w:type="spellStart"/>
      <w:r w:rsidRPr="0057069D">
        <w:rPr>
          <w:lang w:val="en-US"/>
        </w:rPr>
        <w:t>Jeewon</w:t>
      </w:r>
      <w:proofErr w:type="spellEnd"/>
      <w:r w:rsidRPr="0057069D">
        <w:rPr>
          <w:lang w:val="en-US"/>
        </w:rPr>
        <w:t xml:space="preserve">, R., </w:t>
      </w:r>
      <w:proofErr w:type="spellStart"/>
      <w:r w:rsidRPr="0057069D">
        <w:rPr>
          <w:lang w:val="en-US"/>
        </w:rPr>
        <w:t>Lumyong</w:t>
      </w:r>
      <w:proofErr w:type="spellEnd"/>
      <w:r w:rsidRPr="0057069D">
        <w:rPr>
          <w:lang w:val="en-US"/>
        </w:rPr>
        <w:t xml:space="preserve">, S., </w:t>
      </w:r>
      <w:proofErr w:type="spellStart"/>
      <w:r w:rsidRPr="0057069D">
        <w:rPr>
          <w:lang w:val="en-US"/>
        </w:rPr>
        <w:t>Niego</w:t>
      </w:r>
      <w:proofErr w:type="spellEnd"/>
      <w:r w:rsidRPr="0057069D">
        <w:rPr>
          <w:lang w:val="en-US"/>
        </w:rPr>
        <w:t>, A. G. T., &amp; Stadler, M. (2019). The amazing potential of fungi: 50 ways we can exploit fungi industrially. </w:t>
      </w:r>
      <w:proofErr w:type="spellStart"/>
      <w:r w:rsidRPr="0057069D">
        <w:rPr>
          <w:rStyle w:val="nfasis"/>
        </w:rPr>
        <w:t>Fungal</w:t>
      </w:r>
      <w:proofErr w:type="spellEnd"/>
      <w:r w:rsidRPr="0057069D">
        <w:rPr>
          <w:rStyle w:val="nfasis"/>
        </w:rPr>
        <w:t xml:space="preserve"> </w:t>
      </w:r>
      <w:proofErr w:type="spellStart"/>
      <w:r w:rsidRPr="0057069D">
        <w:rPr>
          <w:rStyle w:val="nfasis"/>
        </w:rPr>
        <w:t>Diversity</w:t>
      </w:r>
      <w:proofErr w:type="spellEnd"/>
      <w:r w:rsidRPr="0057069D">
        <w:t>, *97*(1), 1–136. </w:t>
      </w:r>
      <w:hyperlink r:id="rId6" w:tgtFrame="_blank" w:history="1">
        <w:r w:rsidRPr="0057069D">
          <w:rPr>
            <w:lang w:val="en-US"/>
          </w:rPr>
          <w:t>https://doi.org/10.1007/s13225-019-00430-9</w:t>
        </w:r>
      </w:hyperlink>
    </w:p>
    <w:p w14:paraId="65E98D8B" w14:textId="77777777" w:rsidR="0057069D" w:rsidRPr="0057069D" w:rsidRDefault="0057069D" w:rsidP="0057069D">
      <w:pPr>
        <w:pStyle w:val="ds-markdown-paragraph"/>
        <w:shd w:val="clear" w:color="auto" w:fill="FFFFFF"/>
        <w:spacing w:before="0" w:beforeAutospacing="0" w:after="0" w:afterAutospacing="0" w:line="360" w:lineRule="auto"/>
        <w:ind w:left="709" w:hanging="709"/>
        <w:jc w:val="both"/>
      </w:pPr>
      <w:r w:rsidRPr="0057069D">
        <w:t>Sánchez-Téllez, S., Téllez-Ortiz, J., &amp; Rodríguez-Guerra, R. (2020). Hongos patógenos asociados a la guayaba (</w:t>
      </w:r>
      <w:proofErr w:type="spellStart"/>
      <w:r w:rsidRPr="0057069D">
        <w:rPr>
          <w:rStyle w:val="nfasis"/>
        </w:rPr>
        <w:t>Psidium</w:t>
      </w:r>
      <w:proofErr w:type="spellEnd"/>
      <w:r w:rsidRPr="0057069D">
        <w:rPr>
          <w:rStyle w:val="nfasis"/>
        </w:rPr>
        <w:t xml:space="preserve"> </w:t>
      </w:r>
      <w:proofErr w:type="spellStart"/>
      <w:r w:rsidRPr="0057069D">
        <w:rPr>
          <w:rStyle w:val="nfasis"/>
        </w:rPr>
        <w:t>guajava</w:t>
      </w:r>
      <w:proofErr w:type="spellEnd"/>
      <w:r w:rsidRPr="0057069D">
        <w:t> L.) en México. </w:t>
      </w:r>
      <w:r w:rsidRPr="0057069D">
        <w:rPr>
          <w:rStyle w:val="nfasis"/>
        </w:rPr>
        <w:t>Revista Mexicana de Fitopatología</w:t>
      </w:r>
      <w:r w:rsidRPr="0057069D">
        <w:t>, *38*(2), 234–256.</w:t>
      </w:r>
      <w:r w:rsidRPr="0057069D">
        <w:rPr>
          <w:lang w:val="en-US"/>
        </w:rPr>
        <w:t> </w:t>
      </w:r>
      <w:hyperlink r:id="rId7" w:tgtFrame="_blank" w:history="1">
        <w:r w:rsidRPr="0057069D">
          <w:rPr>
            <w:lang w:val="en-US"/>
          </w:rPr>
          <w:t>https://doi.org/10.18781/R.MEX.FIT.2002-5</w:t>
        </w:r>
      </w:hyperlink>
    </w:p>
    <w:p w14:paraId="4BE7FC77" w14:textId="77777777" w:rsidR="0057069D" w:rsidRPr="0057069D" w:rsidRDefault="0057069D" w:rsidP="0057069D">
      <w:pPr>
        <w:pStyle w:val="ds-markdown-paragraph"/>
        <w:shd w:val="clear" w:color="auto" w:fill="FFFFFF"/>
        <w:spacing w:before="0" w:beforeAutospacing="0" w:after="0" w:afterAutospacing="0" w:line="360" w:lineRule="auto"/>
        <w:ind w:left="709" w:hanging="709"/>
        <w:jc w:val="both"/>
      </w:pPr>
      <w:r w:rsidRPr="0057069D">
        <w:rPr>
          <w:lang w:val="en-US"/>
        </w:rPr>
        <w:t>White, T. J., Bruns, T. D., Lee, S. B., &amp; Taylor, J. W. (2022). Amplification and direct sequencing of fungal ribosomal RNA genes for phylogenetics. </w:t>
      </w:r>
      <w:r w:rsidRPr="0057069D">
        <w:rPr>
          <w:rStyle w:val="nfasis"/>
        </w:rPr>
        <w:t xml:space="preserve">PCR </w:t>
      </w:r>
      <w:proofErr w:type="spellStart"/>
      <w:r w:rsidRPr="0057069D">
        <w:rPr>
          <w:rStyle w:val="nfasis"/>
        </w:rPr>
        <w:t>Protocols</w:t>
      </w:r>
      <w:proofErr w:type="spellEnd"/>
      <w:r w:rsidRPr="0057069D">
        <w:t>, *18*(1), 315–322. </w:t>
      </w:r>
      <w:hyperlink r:id="rId8" w:tgtFrame="_blank" w:history="1">
        <w:r w:rsidRPr="0057069D">
          <w:rPr>
            <w:lang w:val="en-US"/>
          </w:rPr>
          <w:t>https://doi.org/10.1016/B978-0-12-372180-8.50042-1</w:t>
        </w:r>
      </w:hyperlink>
    </w:p>
    <w:p w14:paraId="1DCD3B72" w14:textId="77777777" w:rsidR="00151E95" w:rsidRDefault="00151E95" w:rsidP="0057069D">
      <w:pPr>
        <w:spacing w:line="360" w:lineRule="auto"/>
        <w:jc w:val="both"/>
        <w:rPr>
          <w:rFonts w:ascii="Times New Roman" w:hAnsi="Times New Roman" w:cs="Times New Roman"/>
          <w:b/>
          <w:sz w:val="24"/>
        </w:rPr>
      </w:pPr>
    </w:p>
    <w:p w14:paraId="656E5290" w14:textId="77777777" w:rsidR="00151E95" w:rsidRDefault="00151E95" w:rsidP="00151E95">
      <w:pPr>
        <w:jc w:val="both"/>
        <w:rPr>
          <w:rFonts w:ascii="Times New Roman" w:hAnsi="Times New Roman" w:cs="Times New Roman"/>
          <w:b/>
          <w:sz w:val="24"/>
        </w:rPr>
      </w:pPr>
    </w:p>
    <w:p w14:paraId="54624976" w14:textId="77777777" w:rsidR="00151E95" w:rsidRPr="00151E95" w:rsidRDefault="00151E95" w:rsidP="00151E95">
      <w:pPr>
        <w:jc w:val="both"/>
        <w:rPr>
          <w:rFonts w:ascii="Times New Roman" w:hAnsi="Times New Roman" w:cs="Times New Roman"/>
          <w:b/>
          <w:sz w:val="24"/>
        </w:rPr>
      </w:pPr>
    </w:p>
    <w:sectPr w:rsidR="00151E95" w:rsidRPr="00151E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0541F"/>
    <w:multiLevelType w:val="multilevel"/>
    <w:tmpl w:val="F468F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1E63E8"/>
    <w:multiLevelType w:val="hybridMultilevel"/>
    <w:tmpl w:val="CBCC10C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27256A52"/>
    <w:multiLevelType w:val="hybridMultilevel"/>
    <w:tmpl w:val="1960D31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 w15:restartNumberingAfterBreak="0">
    <w:nsid w:val="2C8523A4"/>
    <w:multiLevelType w:val="multilevel"/>
    <w:tmpl w:val="DFFE90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36FA5630"/>
    <w:multiLevelType w:val="multilevel"/>
    <w:tmpl w:val="4EB4C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3804DA"/>
    <w:multiLevelType w:val="hybridMultilevel"/>
    <w:tmpl w:val="8B56C3C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698A14DE"/>
    <w:multiLevelType w:val="multilevel"/>
    <w:tmpl w:val="7090D30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5"/>
  </w:num>
  <w:num w:numId="4">
    <w:abstractNumId w:val="4"/>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323"/>
    <w:rsid w:val="00151E95"/>
    <w:rsid w:val="003F2511"/>
    <w:rsid w:val="0057069D"/>
    <w:rsid w:val="00B83323"/>
    <w:rsid w:val="00BB3D00"/>
    <w:rsid w:val="00DC601C"/>
    <w:rsid w:val="00DE6F1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9FB3D"/>
  <w15:chartTrackingRefBased/>
  <w15:docId w15:val="{8BA689E6-E096-41DD-A119-29E1ECC28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3F2511"/>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B83323"/>
    <w:pPr>
      <w:ind w:left="720"/>
      <w:contextualSpacing/>
    </w:pPr>
  </w:style>
  <w:style w:type="paragraph" w:customStyle="1" w:styleId="ds-markdown-paragraph">
    <w:name w:val="ds-markdown-paragraph"/>
    <w:basedOn w:val="Normal"/>
    <w:rsid w:val="0057069D"/>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57069D"/>
    <w:rPr>
      <w:b/>
      <w:bCs/>
    </w:rPr>
  </w:style>
  <w:style w:type="character" w:styleId="nfasis">
    <w:name w:val="Emphasis"/>
    <w:basedOn w:val="Fuentedeprrafopredeter"/>
    <w:uiPriority w:val="20"/>
    <w:qFormat/>
    <w:rsid w:val="0057069D"/>
    <w:rPr>
      <w:i/>
      <w:iCs/>
    </w:rPr>
  </w:style>
  <w:style w:type="character" w:styleId="Hipervnculo">
    <w:name w:val="Hyperlink"/>
    <w:basedOn w:val="Fuentedeprrafopredeter"/>
    <w:uiPriority w:val="99"/>
    <w:semiHidden/>
    <w:unhideWhenUsed/>
    <w:rsid w:val="0057069D"/>
    <w:rPr>
      <w:color w:val="0000FF"/>
      <w:u w:val="single"/>
    </w:rPr>
  </w:style>
  <w:style w:type="character" w:customStyle="1" w:styleId="Ttulo4Car">
    <w:name w:val="Título 4 Car"/>
    <w:basedOn w:val="Fuentedeprrafopredeter"/>
    <w:link w:val="Ttulo4"/>
    <w:uiPriority w:val="9"/>
    <w:rsid w:val="003F2511"/>
    <w:rPr>
      <w:rFonts w:ascii="Times New Roman" w:eastAsia="Times New Roman" w:hAnsi="Times New Roman" w:cs="Times New Roman"/>
      <w:b/>
      <w:bCs/>
      <w:sz w:val="24"/>
      <w:szCs w:val="24"/>
      <w:lang w:eastAsia="es-PE"/>
    </w:rPr>
  </w:style>
  <w:style w:type="character" w:customStyle="1" w:styleId="PrrafodelistaCar">
    <w:name w:val="Párrafo de lista Car"/>
    <w:link w:val="Prrafodelista"/>
    <w:uiPriority w:val="34"/>
    <w:rsid w:val="00BB3D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44244">
      <w:bodyDiv w:val="1"/>
      <w:marLeft w:val="0"/>
      <w:marRight w:val="0"/>
      <w:marTop w:val="0"/>
      <w:marBottom w:val="0"/>
      <w:divBdr>
        <w:top w:val="none" w:sz="0" w:space="0" w:color="auto"/>
        <w:left w:val="none" w:sz="0" w:space="0" w:color="auto"/>
        <w:bottom w:val="none" w:sz="0" w:space="0" w:color="auto"/>
        <w:right w:val="none" w:sz="0" w:space="0" w:color="auto"/>
      </w:divBdr>
    </w:div>
    <w:div w:id="166304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B978-0-12-372180-8.50042-1" TargetMode="External"/><Relationship Id="rId3" Type="http://schemas.openxmlformats.org/officeDocument/2006/relationships/settings" Target="settings.xml"/><Relationship Id="rId7" Type="http://schemas.openxmlformats.org/officeDocument/2006/relationships/hyperlink" Target="https://doi.org/10.18781/R.MEX.FIT.2002-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s13225-019-00430-9" TargetMode="External"/><Relationship Id="rId5" Type="http://schemas.openxmlformats.org/officeDocument/2006/relationships/hyperlink" Target="https://doi.org/10.4060/cc2621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471</Words>
  <Characters>3206</Characters>
  <Application>Microsoft Office Word</Application>
  <DocSecurity>0</DocSecurity>
  <Lines>62</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MAYLI VARGAS</dc:creator>
  <cp:keywords/>
  <dc:description/>
  <cp:lastModifiedBy>Lenovo</cp:lastModifiedBy>
  <cp:revision>2</cp:revision>
  <dcterms:created xsi:type="dcterms:W3CDTF">2025-04-27T15:03:00Z</dcterms:created>
  <dcterms:modified xsi:type="dcterms:W3CDTF">2025-04-27T15:03:00Z</dcterms:modified>
</cp:coreProperties>
</file>