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:rsidTr="00F653D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2905" w:type="dxa"/>
            <w:vMerge w:val="restart"/>
          </w:tcPr>
          <w:p w:rsidR="00F653DE" w:rsidRDefault="00F653DE">
            <w:pPr>
              <w:pStyle w:val="Header"/>
              <w:jc w:val="center"/>
            </w:pPr>
            <w:bookmarkStart w:id="0" w:name="_GoBack"/>
            <w:bookmarkEnd w:id="0"/>
          </w:p>
        </w:tc>
        <w:tc>
          <w:tcPr>
            <w:tcW w:w="7230" w:type="dxa"/>
            <w:vMerge w:val="restart"/>
            <w:vAlign w:val="center"/>
          </w:tcPr>
          <w:p w:rsidR="00F653DE" w:rsidRDefault="004E2AB7" w:rsidP="003C2D00">
            <w:pPr>
              <w:pStyle w:val="Header"/>
              <w:jc w:val="center"/>
            </w:pPr>
            <w:r w:rsidRPr="00D35E0B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Zakres</w:t>
            </w:r>
            <w:r w:rsidR="00F653DE" w:rsidRPr="00D35E0B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2D00" w:rsidRPr="00D35E0B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 wizja systemu</w:t>
            </w:r>
          </w:p>
        </w:tc>
      </w:tr>
      <w:tr w:rsidR="00F653DE" w:rsidTr="00F653D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2905" w:type="dxa"/>
            <w:vMerge/>
          </w:tcPr>
          <w:p w:rsidR="00F653DE" w:rsidRDefault="00F653DE">
            <w:pPr>
              <w:pStyle w:val="Header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:rsidR="00F653DE" w:rsidRDefault="00F653DE">
            <w:pPr>
              <w:pStyle w:val="Header"/>
              <w:rPr>
                <w:b/>
                <w:spacing w:val="20"/>
              </w:rPr>
            </w:pPr>
          </w:p>
        </w:tc>
      </w:tr>
      <w:tr w:rsidR="00F653DE" w:rsidRPr="003C2D00" w:rsidTr="00F653DE">
        <w:tblPrEx>
          <w:tblCellMar>
            <w:top w:w="0" w:type="dxa"/>
            <w:bottom w:w="0" w:type="dxa"/>
          </w:tblCellMar>
        </w:tblPrEx>
        <w:trPr>
          <w:cantSplit/>
          <w:trHeight w:val="498"/>
        </w:trPr>
        <w:tc>
          <w:tcPr>
            <w:tcW w:w="2905" w:type="dxa"/>
            <w:vMerge/>
            <w:vAlign w:val="center"/>
          </w:tcPr>
          <w:p w:rsidR="00F653DE" w:rsidRDefault="00F653DE">
            <w:pPr>
              <w:pStyle w:val="Header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:rsidR="00F653DE" w:rsidRPr="003C2D00" w:rsidRDefault="004E2AB7" w:rsidP="004E2AB7">
            <w:pPr>
              <w:pStyle w:val="Header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:rsidTr="004E2AB7">
        <w:tblPrEx>
          <w:tblCellMar>
            <w:top w:w="0" w:type="dxa"/>
            <w:bottom w:w="0" w:type="dxa"/>
          </w:tblCellMar>
        </w:tblPrEx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:rsidR="00F653DE" w:rsidRPr="004E2AB7" w:rsidRDefault="004E2AB7" w:rsidP="003C2D0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="00F653DE" w:rsidRPr="00992D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w:rsidR="00803C9C" w:rsidRPr="00D35E0B" w:rsidRDefault="00803C9C">
      <w:pPr>
        <w:ind w:left="426" w:right="-142"/>
        <w:jc w:val="center"/>
        <w:rPr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327"/>
        <w:gridCol w:w="1776"/>
        <w:gridCol w:w="3261"/>
      </w:tblGrid>
      <w:tr w:rsidR="004E2AB7" w:rsidTr="008D4AD0">
        <w:tc>
          <w:tcPr>
            <w:tcW w:w="10173" w:type="dxa"/>
            <w:gridSpan w:val="4"/>
            <w:shd w:val="pct5" w:color="auto" w:fill="auto"/>
          </w:tcPr>
          <w:p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:rsidTr="008D4AD0">
        <w:tc>
          <w:tcPr>
            <w:tcW w:w="1809" w:type="dxa"/>
            <w:shd w:val="pct5" w:color="auto" w:fill="auto"/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:rsidR="004E2AB7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System PlanowUslug</w:t>
            </w:r>
          </w:p>
        </w:tc>
        <w:tc>
          <w:tcPr>
            <w:tcW w:w="1776" w:type="dxa"/>
            <w:shd w:val="pct5" w:color="auto" w:fill="auto"/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:rsidR="004E2AB7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11.03.2016</w:t>
            </w:r>
          </w:p>
        </w:tc>
      </w:tr>
      <w:tr w:rsidR="004E2AB7" w:rsidTr="008D4AD0">
        <w:tc>
          <w:tcPr>
            <w:tcW w:w="1809" w:type="dxa"/>
            <w:shd w:val="pct5" w:color="auto" w:fill="auto"/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:rsidR="004E2AB7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COMPSERV</w:t>
            </w:r>
          </w:p>
        </w:tc>
        <w:tc>
          <w:tcPr>
            <w:tcW w:w="1776" w:type="dxa"/>
            <w:shd w:val="pct5" w:color="auto" w:fill="auto"/>
          </w:tcPr>
          <w:p w:rsidR="004E2AB7" w:rsidRDefault="00C45D32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Wykonawca:</w:t>
            </w:r>
          </w:p>
        </w:tc>
        <w:tc>
          <w:tcPr>
            <w:tcW w:w="3261" w:type="dxa"/>
          </w:tcPr>
          <w:p w:rsidR="004E2AB7" w:rsidRDefault="00C45D32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Paweł Koryciński</w:t>
            </w:r>
          </w:p>
        </w:tc>
      </w:tr>
      <w:tr w:rsidR="004E2AB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w:rsidR="004E2AB7" w:rsidTr="00E91845">
        <w:trPr>
          <w:trHeight w:val="1704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Zarządzający firmą </w:t>
            </w:r>
            <w:r w:rsidR="00E91845">
              <w:t xml:space="preserve">serwisująca sprzęt komputerowy(COMPSERV) </w:t>
            </w:r>
            <w:r>
              <w:t xml:space="preserve">nie mają wiedzy jakie jest obciążenie pracowników realizacją usług. Dużo czasu jest poświęcane aby ustalić którzy pracownicy są aktualnie zajęci, gdzie się znajdują i kiedy będą wolni. Duże firmy często na bieżąco rozszerzają swoje zamówienia na usługi. </w:t>
            </w:r>
            <w:r w:rsidR="00E91845">
              <w:t>P</w:t>
            </w:r>
            <w:r>
              <w:t>owoduje</w:t>
            </w:r>
            <w:r w:rsidR="00E91845">
              <w:t xml:space="preserve"> to</w:t>
            </w:r>
            <w:r>
              <w:t xml:space="preserve"> duż</w:t>
            </w:r>
            <w:r w:rsidR="00E91845">
              <w:t>ą</w:t>
            </w:r>
            <w:r>
              <w:t xml:space="preserve"> liczbę zmian w terminach obsługi innych klientów i konieczność renegocjacji ustalonych terminów</w:t>
            </w:r>
            <w:r w:rsidR="00992FC5">
              <w:t xml:space="preserve"> przez co</w:t>
            </w:r>
            <w:r>
              <w:t xml:space="preserve"> firma traci dobre kontrakty z dużymi </w:t>
            </w:r>
            <w:r w:rsidR="00992FC5">
              <w:t xml:space="preserve">oraz </w:t>
            </w:r>
            <w:r>
              <w:t>mniejszymi klientami</w:t>
            </w:r>
            <w:r w:rsidR="00992FC5">
              <w:t>.</w:t>
            </w:r>
          </w:p>
          <w:p w:rsidR="004E2AB7" w:rsidRDefault="004E2AB7" w:rsidP="008D4AD0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:rsidTr="00E91845">
        <w:trPr>
          <w:trHeight w:val="1892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992FC5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BO-1: Dla klienta zamawiającego usługi: zmniejszenie kosztów usług serwisowych o 15% po pierwszy</w:t>
            </w:r>
            <w:r w:rsidR="00E91845">
              <w:t>m</w:t>
            </w:r>
            <w:r>
              <w:t xml:space="preserve"> wdrożeniu systemu ( szacowana na podstawie zarejestrowanych logów w systemie )</w:t>
            </w:r>
          </w:p>
          <w:p w:rsidR="001D6D9E" w:rsidRDefault="001D6D9E" w:rsidP="008D4AD0">
            <w:pPr>
              <w:pStyle w:val="Header"/>
              <w:tabs>
                <w:tab w:val="clear" w:pos="4536"/>
                <w:tab w:val="clear" w:pos="9072"/>
              </w:tabs>
            </w:pPr>
            <w:r>
              <w:t>BO-2: Zwiększenie średnie</w:t>
            </w:r>
            <w:r w:rsidR="00992FC5">
              <w:t>go</w:t>
            </w:r>
            <w:r>
              <w:t xml:space="preserve"> efektywnego czasu pracy ( o 20 minut dziennie ) pracownika obsługującego zgłoszenia awarii ( w ciągu 3 miesięcy po pierwszy wydaniu )</w:t>
            </w:r>
          </w:p>
          <w:p w:rsidR="001D6D9E" w:rsidRDefault="001D6D9E" w:rsidP="001D6D9E">
            <w:pPr>
              <w:pStyle w:val="Header"/>
              <w:tabs>
                <w:tab w:val="clear" w:pos="4536"/>
                <w:tab w:val="clear" w:pos="9072"/>
              </w:tabs>
            </w:pPr>
            <w:r>
              <w:t>BO-3: Polepszenie wizerunku firmy, mierzona zwiększeniem liczby kontraktów długoterminowych o 5% w ciągu 12 miesięcy po pierwszy wydaniu.</w:t>
            </w:r>
          </w:p>
          <w:p w:rsidR="00F93C94" w:rsidRDefault="00F93C94" w:rsidP="001D6D9E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BO-4: </w:t>
            </w:r>
            <w:r w:rsidRPr="00F93C94">
              <w:t>Czy 75% klientów  ( w ciągu 5 miesięcy po pierwszy wydaniu ) którzy obecnie korzystają  telefonicznych zgłoszeń, będą korzystać z systemu do informowania o awarii / przeglądzie.</w:t>
            </w:r>
          </w:p>
          <w:p w:rsidR="00F93C94" w:rsidRDefault="00F93C94" w:rsidP="001D6D9E">
            <w:pPr>
              <w:pStyle w:val="Header"/>
              <w:tabs>
                <w:tab w:val="clear" w:pos="4536"/>
                <w:tab w:val="clear" w:pos="9072"/>
              </w:tabs>
            </w:pPr>
            <w:r>
              <w:t xml:space="preserve">BO-5: </w:t>
            </w:r>
            <w:r w:rsidRPr="00F93C94">
              <w:t>Osiągnięcie wzrostu średniej oceny kwartalnego badania satysfakcji z obsługi o 0,5 w ciągu 3 miesięcy po pierwszy wydaniu i o 1,0 w ciągu 12 miesięcy po pierwszym wydaniu</w:t>
            </w:r>
            <w:r>
              <w:t>.</w:t>
            </w:r>
          </w:p>
          <w:p w:rsidR="00E91845" w:rsidRDefault="00E91845" w:rsidP="001D6D9E">
            <w:pPr>
              <w:pStyle w:val="Header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w:rsidR="004E2AB7" w:rsidTr="00E91845">
        <w:trPr>
          <w:trHeight w:val="1229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71482B" w:rsidRDefault="00F93C94" w:rsidP="002D7BA3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 w:rsidRPr="002D7BA3">
              <w:t xml:space="preserve">dostarczona aplikacji webowa </w:t>
            </w:r>
          </w:p>
          <w:p w:rsidR="0071482B" w:rsidRPr="0071482B" w:rsidRDefault="002D7BA3" w:rsidP="002D7BA3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 w:rsidRPr="0071482B">
              <w:rPr>
                <w:szCs w:val="24"/>
              </w:rPr>
              <w:t>stabilność serwera dla jednoczesnej pracy 750 użytkowników, przy łączności 54kb/s każdego z nich</w:t>
            </w:r>
          </w:p>
          <w:p w:rsidR="00F93C94" w:rsidRP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rPr>
                <w:szCs w:val="24"/>
              </w:rPr>
              <w:t>kontakt z serwisem poprzez e-mail, automatyczne przekierowanie z poziomu aplikacji do klienta pocztowego</w:t>
            </w:r>
          </w:p>
          <w:p w:rsidR="006D1416" w:rsidRDefault="006D1416" w:rsidP="006D1416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sekcja wiadomości , w celu kontaktu ws. postępów usług serwisowych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 xml:space="preserve">kontakt z serwisem poprzez </w:t>
            </w:r>
            <w:r w:rsidR="006D1416">
              <w:t>sekcję wiadomości</w:t>
            </w:r>
            <w:r>
              <w:t>, z możliwością przesyłania zdjęć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baza danych opracowana przy pomocy Microsoft Access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płatność kartą Visa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płatność PayPall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szacowana data ukończenia obsługi zgłoszenia z dokładnością +-1 dzień, dla zleceń &gt;2tyg</w:t>
            </w:r>
          </w:p>
          <w:p w:rsidR="00287A02" w:rsidRDefault="00287A02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każdy pracownik ma wskaźnik aktualizowany w czasie rzeczywistym nt. Czasu pracy</w:t>
            </w:r>
          </w:p>
          <w:p w:rsidR="00287A02" w:rsidRDefault="00CB4995" w:rsidP="0071482B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każde zlecenie posiada wskaźnik podpiętego pracownika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każde pracownik posiada wskaźnik podpiętego zlecenia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każdy pracownik posiada wskaźnik czasu pozostałego do zakończenia zlecenia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każde pracownik posiada w bazie danych historię przetworzonych zgłoszeń oraz planowane do podpięcia zlecenia</w:t>
            </w:r>
          </w:p>
          <w:p w:rsidR="00CB4995" w:rsidRDefault="00CB4995" w:rsidP="00963C72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każdy pracownik posiada wskaźnik nt. Aktualnego obciążenia w sklai dnia/ tygodnia/ miesiąca/ roku</w:t>
            </w:r>
          </w:p>
          <w:p w:rsidR="00CB4995" w:rsidRDefault="00CB4995" w:rsidP="00963C72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logowanie do systemu wspierającego standard OAuth</w:t>
            </w:r>
          </w:p>
          <w:p w:rsidR="00CB4995" w:rsidRDefault="00CB4995" w:rsidP="00963C72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3 poziomy autoryzacji : klient, pracownik, zarząd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lastRenderedPageBreak/>
              <w:t>Subskrypcja każdej z usług na czas nieokreślony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Alokacja każdego ze zleceń do dowolnego pracownika, z komunikatem o aktualnym stanie przepracowania</w:t>
            </w:r>
          </w:p>
          <w:p w:rsidR="006D1416" w:rsidRDefault="006D1416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Alokacja każdego pracownika, do dowolnego ze zleceń, z komunikatem o aktualnym stanie przepracowania</w:t>
            </w:r>
          </w:p>
          <w:p w:rsidR="00CB4995" w:rsidRDefault="00CB4995" w:rsidP="00CB499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Wersja dla zarządu posiada wbudowaną mapę placówki serwisującej, lokalizującą obecność każdego z pracownika, jeśli ten wkroczył na jej teren</w:t>
            </w:r>
          </w:p>
          <w:p w:rsidR="006D1416" w:rsidRDefault="006D1416" w:rsidP="006D1416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Sekcja zlecenia, gdzie wyświetlane są aktualnie przetwarzane, w kolejności najszybciej ukończone najpierw(SJF)</w:t>
            </w:r>
          </w:p>
          <w:p w:rsidR="006D1416" w:rsidRDefault="006D1416" w:rsidP="006D1416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Opcjonalna płatna możliwość door2door, do wybrania podczas składania zamówienia</w:t>
            </w:r>
          </w:p>
          <w:p w:rsidR="006D1416" w:rsidRDefault="006D1416" w:rsidP="006D1416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Każdy klient posiada wgląd do planowanego ukończenia złożonego zamówienia +-1 dzień</w:t>
            </w:r>
          </w:p>
          <w:p w:rsidR="006D1416" w:rsidRDefault="006D1416" w:rsidP="006D1416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</w:pPr>
            <w:r>
              <w:t>każde wykonane zamówienie w przeciągu 6mies od uruchomienia aplikacji, które podczas rozmowy telefonicznej zostanie przekierowane do sklepu gdzie klient ściągnie aplikację, oraz przez nią ukończy proces zamówienia, dostaje gratis door2door na najbliższe 2 zamówienia</w:t>
            </w:r>
          </w:p>
          <w:p w:rsidR="00CB4995" w:rsidRPr="0071482B" w:rsidRDefault="00CB4995" w:rsidP="00CB4995">
            <w:pPr>
              <w:pStyle w:val="Header"/>
              <w:tabs>
                <w:tab w:val="clear" w:pos="4536"/>
                <w:tab w:val="clear" w:pos="9072"/>
              </w:tabs>
              <w:ind w:left="360"/>
            </w:pPr>
          </w:p>
        </w:tc>
      </w:tr>
      <w:tr w:rsidR="003C2D00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3C2D00" w:rsidRDefault="003C2D00" w:rsidP="008D4AD0">
            <w:pPr>
              <w:pStyle w:val="Header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lastRenderedPageBreak/>
              <w:t>Wizja rozwiązania</w:t>
            </w:r>
          </w:p>
          <w:p w:rsidR="0071482B" w:rsidRDefault="003C2D00" w:rsidP="0071482B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  <w:t>Główne cechy /własności systemu</w:t>
            </w:r>
            <w:r w:rsidR="00101B47">
              <w:rPr>
                <w:i/>
                <w:sz w:val="24"/>
                <w:szCs w:val="24"/>
              </w:rPr>
              <w:t>:</w:t>
            </w:r>
          </w:p>
          <w:p w:rsidR="00287A02" w:rsidRDefault="00287A02" w:rsidP="0071482B">
            <w:pPr>
              <w:rPr>
                <w:i/>
                <w:sz w:val="24"/>
                <w:szCs w:val="24"/>
              </w:rPr>
            </w:pP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1. Płatności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1a. </w:t>
            </w:r>
            <w:r w:rsidR="00287A02">
              <w:rPr>
                <w:i/>
                <w:sz w:val="24"/>
                <w:szCs w:val="24"/>
              </w:rPr>
              <w:t>Płatności</w:t>
            </w:r>
            <w:r>
              <w:rPr>
                <w:i/>
                <w:sz w:val="24"/>
                <w:szCs w:val="24"/>
              </w:rPr>
              <w:t xml:space="preserve"> </w:t>
            </w:r>
            <w:r w:rsidR="00287A02">
              <w:rPr>
                <w:i/>
                <w:sz w:val="24"/>
                <w:szCs w:val="24"/>
              </w:rPr>
              <w:t>internetowe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1b. Płatność kartą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2. Klient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2a. Suskrypcja usług serwisowych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2b. Logi obsługi zleceń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2c. Jednorazowe zamawianie usług serwisowych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2d. Ankietyzacja nt. obsługi systemu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2e. Ewidencja, archiwizacja, danych dla 1001 klientów</w:t>
            </w:r>
          </w:p>
          <w:p w:rsidR="00287A02" w:rsidRDefault="00287A02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2f. Komunikacja ze sklepem poprzez e-mail, telefon, interaktywny chat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3.Pracownik</w:t>
            </w:r>
          </w:p>
          <w:p w:rsidR="0071482B" w:rsidRDefault="0071482B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3a. Logi </w:t>
            </w:r>
            <w:r w:rsidR="00287A02">
              <w:rPr>
                <w:i/>
                <w:sz w:val="24"/>
                <w:szCs w:val="24"/>
              </w:rPr>
              <w:t>czasu pracy pracownika</w:t>
            </w:r>
          </w:p>
          <w:p w:rsidR="00287A02" w:rsidRDefault="00287A02" w:rsidP="007148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3b. Aktualny stan/ miejsce ...</w:t>
            </w:r>
          </w:p>
          <w:p w:rsidR="00287A02" w:rsidRDefault="00287A02" w:rsidP="00101B47">
            <w:pPr>
              <w:rPr>
                <w:i/>
                <w:sz w:val="24"/>
                <w:szCs w:val="24"/>
              </w:rPr>
            </w:pP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4.Usługi</w:t>
            </w: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4a. </w:t>
            </w:r>
            <w:r w:rsidR="006D1416">
              <w:rPr>
                <w:i/>
                <w:sz w:val="24"/>
                <w:szCs w:val="24"/>
              </w:rPr>
              <w:t>P</w:t>
            </w:r>
            <w:r>
              <w:rPr>
                <w:i/>
                <w:sz w:val="24"/>
                <w:szCs w:val="24"/>
              </w:rPr>
              <w:t>lanowania średniookresowego ( 1-3mies ) terminu obsługi zlecenia</w:t>
            </w: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4b. </w:t>
            </w:r>
            <w:r w:rsidR="006D1416">
              <w:rPr>
                <w:i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ożliwe door2door</w:t>
            </w: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4c. </w:t>
            </w:r>
            <w:r w:rsidR="006D1416">
              <w:rPr>
                <w:i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odyfikowalność aktualnie przyjętych zleceń</w:t>
            </w: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5.Inne</w:t>
            </w:r>
          </w:p>
          <w:p w:rsidR="00287A02" w:rsidRDefault="00287A02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5a. </w:t>
            </w:r>
            <w:r w:rsidR="006D1416">
              <w:rPr>
                <w:i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apa placówki serwisu</w:t>
            </w:r>
          </w:p>
          <w:p w:rsidR="00287A02" w:rsidRDefault="006D1416" w:rsidP="00287A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5b. A</w:t>
            </w:r>
            <w:r w:rsidR="00287A02">
              <w:rPr>
                <w:i/>
                <w:sz w:val="24"/>
                <w:szCs w:val="24"/>
              </w:rPr>
              <w:t>utoryzacja login, hasło</w:t>
            </w:r>
          </w:p>
          <w:p w:rsidR="00101B47" w:rsidRPr="003C2D00" w:rsidRDefault="00101B47" w:rsidP="00101B47">
            <w:pPr>
              <w:rPr>
                <w:i/>
                <w:sz w:val="24"/>
                <w:szCs w:val="24"/>
              </w:rPr>
            </w:pPr>
          </w:p>
          <w:p w:rsidR="00101B47" w:rsidRDefault="00101B47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</w:t>
            </w:r>
            <w:r w:rsidR="005907BD">
              <w:rPr>
                <w:i/>
                <w:sz w:val="24"/>
                <w:szCs w:val="24"/>
              </w:rPr>
              <w:t>żytkownicy systemu</w:t>
            </w:r>
            <w:r>
              <w:rPr>
                <w:i/>
                <w:sz w:val="24"/>
                <w:szCs w:val="24"/>
              </w:rPr>
              <w:t>(aktorzy):</w:t>
            </w:r>
          </w:p>
          <w:p w:rsidR="00A527AF" w:rsidRDefault="00101B47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</w:t>
            </w:r>
            <w:r w:rsidR="00A527AF">
              <w:rPr>
                <w:i/>
                <w:sz w:val="24"/>
                <w:szCs w:val="24"/>
              </w:rPr>
              <w:t>pracownik</w:t>
            </w:r>
          </w:p>
          <w:p w:rsidR="00A527AF" w:rsidRDefault="00A527AF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zarządzający firmą</w:t>
            </w:r>
          </w:p>
          <w:p w:rsidR="00A527AF" w:rsidRDefault="00A527AF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klient</w:t>
            </w:r>
          </w:p>
          <w:p w:rsidR="003C2D00" w:rsidRDefault="003C2D00" w:rsidP="003C2D00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br/>
              <w:t xml:space="preserve">Założenia i zależności </w:t>
            </w:r>
          </w:p>
          <w:p w:rsidR="0071482B" w:rsidRDefault="0071482B" w:rsidP="003C2D00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odporność na ataki hakerskie ( ddos, phishing, etc )   </w:t>
            </w:r>
          </w:p>
          <w:p w:rsidR="00743E40" w:rsidRDefault="00743E40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aplikacji w języku angielskim</w:t>
            </w:r>
          </w:p>
          <w:p w:rsidR="00743E40" w:rsidRDefault="00743E40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kontakt z klientem za pomocą interaktywnego chatu</w:t>
            </w:r>
          </w:p>
          <w:p w:rsidR="00743E40" w:rsidRDefault="00743E40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dostęp do internetu</w:t>
            </w:r>
            <w:r w:rsidR="00150E7D">
              <w:rPr>
                <w:i/>
                <w:sz w:val="24"/>
                <w:szCs w:val="24"/>
              </w:rPr>
              <w:t>// bezpieczne polaczenie</w:t>
            </w:r>
          </w:p>
          <w:p w:rsidR="00743E40" w:rsidRDefault="00743E40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 wsparcie dla urządzeń z systemem Microsoft</w:t>
            </w:r>
          </w:p>
          <w:p w:rsidR="0071482B" w:rsidRDefault="0071482B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</w:t>
            </w:r>
            <w:r w:rsidRPr="002D7BA3">
              <w:rPr>
                <w:sz w:val="24"/>
                <w:szCs w:val="24"/>
              </w:rPr>
              <w:t xml:space="preserve">obsługa przyjmowania i obserwacji </w:t>
            </w:r>
            <w:r>
              <w:rPr>
                <w:sz w:val="24"/>
                <w:szCs w:val="24"/>
              </w:rPr>
              <w:t>zamówień</w:t>
            </w:r>
          </w:p>
          <w:p w:rsidR="00743E40" w:rsidRDefault="00743E40" w:rsidP="003C2D00">
            <w:pPr>
              <w:rPr>
                <w:i/>
              </w:rPr>
            </w:pPr>
            <w:r>
              <w:rPr>
                <w:i/>
                <w:sz w:val="24"/>
                <w:szCs w:val="24"/>
              </w:rPr>
              <w:lastRenderedPageBreak/>
              <w:t xml:space="preserve">- </w:t>
            </w:r>
            <w:r w:rsidRPr="00743E40">
              <w:rPr>
                <w:i/>
              </w:rPr>
              <w:t xml:space="preserve">aplikacja utworzona przy pomocy </w:t>
            </w:r>
            <w:r>
              <w:rPr>
                <w:i/>
              </w:rPr>
              <w:t xml:space="preserve">usług </w:t>
            </w:r>
            <w:r w:rsidRPr="00743E40">
              <w:rPr>
                <w:i/>
              </w:rPr>
              <w:t>.NET</w:t>
            </w:r>
          </w:p>
          <w:p w:rsidR="00743E40" w:rsidRPr="00743E40" w:rsidRDefault="00743E40" w:rsidP="003C2D00">
            <w:pPr>
              <w:rPr>
                <w:i/>
                <w:sz w:val="24"/>
                <w:szCs w:val="24"/>
              </w:rPr>
            </w:pPr>
            <w:r w:rsidRPr="00743E40">
              <w:rPr>
                <w:i/>
              </w:rPr>
              <w:t>- obsługa przeglądarki Mozilla 44.0.2, Google Chrome 48.0.2, Microsoft Edge 12.10049</w:t>
            </w:r>
          </w:p>
          <w:p w:rsidR="003C2D00" w:rsidRPr="008D4AD0" w:rsidRDefault="003C2D00" w:rsidP="00101B47">
            <w:pPr>
              <w:rPr>
                <w:b/>
              </w:rPr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150E7D" w:rsidRPr="006D1416" w:rsidRDefault="003C2D00" w:rsidP="006D1416">
            <w:pPr>
              <w:pStyle w:val="Header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C2D00">
              <w:rPr>
                <w:b/>
                <w:szCs w:val="24"/>
              </w:rPr>
              <w:lastRenderedPageBreak/>
              <w:t>Zakres i Ograniczenia</w:t>
            </w:r>
            <w:r w:rsidRPr="003C2D00">
              <w:rPr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  <w:r w:rsidRPr="003C2D00">
              <w:rPr>
                <w:i/>
                <w:szCs w:val="24"/>
              </w:rPr>
              <w:t>Zakres systemu w p</w:t>
            </w:r>
            <w:r w:rsidR="006D1416">
              <w:rPr>
                <w:i/>
                <w:szCs w:val="24"/>
              </w:rPr>
              <w:t>ierwszej i następnych wydaniach</w:t>
            </w:r>
          </w:p>
        </w:tc>
      </w:tr>
      <w:tr w:rsidR="004E2AB7" w:rsidTr="00E91845">
        <w:trPr>
          <w:trHeight w:val="1420"/>
        </w:trPr>
        <w:tc>
          <w:tcPr>
            <w:tcW w:w="10173" w:type="dxa"/>
            <w:gridSpan w:val="4"/>
            <w:tcBorders>
              <w:top w:val="nil"/>
            </w:tcBorders>
          </w:tcPr>
          <w:p w:rsidR="00150E7D" w:rsidRDefault="00E91845" w:rsidP="00150E7D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2D7BA3">
              <w:t>częste zmiany w terminach obsługi</w:t>
            </w:r>
          </w:p>
          <w:p w:rsidR="006D1416" w:rsidRDefault="00E91845" w:rsidP="0071482B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2D7BA3">
              <w:t>ograniczona ilość/dyspozycyjność zasobów ludzkich</w:t>
            </w:r>
          </w:p>
          <w:p w:rsidR="0071482B" w:rsidRPr="006D1416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6D1416">
              <w:t>s</w:t>
            </w:r>
            <w:r w:rsidR="0071482B" w:rsidRPr="006D1416">
              <w:rPr>
                <w:szCs w:val="24"/>
              </w:rPr>
              <w:t xml:space="preserve">tabilność serwera dla jednoczesnej pracy </w:t>
            </w:r>
            <w:r w:rsidRPr="006D1416">
              <w:rPr>
                <w:szCs w:val="24"/>
              </w:rPr>
              <w:t xml:space="preserve">max. </w:t>
            </w:r>
            <w:r w:rsidR="0071482B" w:rsidRPr="006D1416">
              <w:rPr>
                <w:szCs w:val="24"/>
              </w:rPr>
              <w:t>750 użytkowników</w:t>
            </w:r>
          </w:p>
          <w:p w:rsidR="006D1416" w:rsidRPr="006D1416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6D1416">
              <w:rPr>
                <w:szCs w:val="24"/>
              </w:rPr>
              <w:t>minimalne łącze internetowe 54kb/s</w:t>
            </w:r>
          </w:p>
          <w:p w:rsidR="006D1416" w:rsidRPr="006D1416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6D1416">
              <w:t>czas reakcji na zgłoszenia awarii min.12h dla zleceń wykonanych po 18:00</w:t>
            </w:r>
          </w:p>
          <w:p w:rsidR="006D1416" w:rsidRPr="006D1416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6D1416">
              <w:t>płatność internetowa tylko PayPall</w:t>
            </w:r>
          </w:p>
          <w:p w:rsidR="006D1416" w:rsidRPr="00C45D32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akceptowane karty tylko Visa</w:t>
            </w:r>
          </w:p>
          <w:p w:rsidR="006D1416" w:rsidRPr="00C45D32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zakaz alokacji pracownika do zlecenia, jeśli wskaźnik przepracowania osiąga +100h</w:t>
            </w:r>
          </w:p>
          <w:p w:rsidR="006D1416" w:rsidRPr="00C45D32" w:rsidRDefault="006D1416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dopuszczalne 1-krotna modyfikacja aktualnie przetwarzanego zgłoszenia</w:t>
            </w:r>
          </w:p>
          <w:p w:rsidR="00963C72" w:rsidRPr="00C45D32" w:rsidRDefault="00963C72" w:rsidP="006D1416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historia wbudowanej sekcji wiadomości sięga 10 ostatnich zamówień</w:t>
            </w:r>
          </w:p>
          <w:p w:rsidR="00963C72" w:rsidRPr="00C45D32" w:rsidRDefault="00963C72" w:rsidP="00963C72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każde zlecenie musi mieć podpiętych &lt;1;5&gt; pracowników</w:t>
            </w:r>
          </w:p>
          <w:p w:rsidR="00963C72" w:rsidRPr="00C45D32" w:rsidRDefault="00963C72" w:rsidP="00963C72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konieczna ręczna aktualizacja podpisanych subskrypcji, przy początku roku kalendarzowego</w:t>
            </w:r>
          </w:p>
          <w:p w:rsidR="00963C72" w:rsidRPr="00C45D32" w:rsidRDefault="00963C72" w:rsidP="00963C72">
            <w:pPr>
              <w:pStyle w:val="Header"/>
              <w:numPr>
                <w:ilvl w:val="0"/>
                <w:numId w:val="12"/>
              </w:numPr>
              <w:tabs>
                <w:tab w:val="clear" w:pos="4536"/>
                <w:tab w:val="clear" w:pos="9072"/>
              </w:tabs>
            </w:pPr>
            <w:r w:rsidRPr="00C45D32">
              <w:t>brak innych języków interfejsu graficznego niż angielski</w:t>
            </w:r>
          </w:p>
        </w:tc>
      </w:tr>
    </w:tbl>
    <w:p w:rsidR="00803C9C" w:rsidRDefault="00803C9C">
      <w:pPr>
        <w:pStyle w:val="Header"/>
        <w:tabs>
          <w:tab w:val="clear" w:pos="4536"/>
          <w:tab w:val="clear" w:pos="9072"/>
        </w:tabs>
      </w:pPr>
    </w:p>
    <w:sectPr w:rsidR="00803C9C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613B"/>
    <w:multiLevelType w:val="hybridMultilevel"/>
    <w:tmpl w:val="DBD0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5C7"/>
    <w:multiLevelType w:val="hybridMultilevel"/>
    <w:tmpl w:val="C086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62C"/>
    <w:multiLevelType w:val="hybridMultilevel"/>
    <w:tmpl w:val="EC00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65B2E"/>
    <w:multiLevelType w:val="hybridMultilevel"/>
    <w:tmpl w:val="C086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04DE"/>
    <w:multiLevelType w:val="hybridMultilevel"/>
    <w:tmpl w:val="C2DC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159EB"/>
    <w:multiLevelType w:val="hybridMultilevel"/>
    <w:tmpl w:val="B8C0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2580"/>
    <w:multiLevelType w:val="hybridMultilevel"/>
    <w:tmpl w:val="C086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F87"/>
    <w:multiLevelType w:val="hybridMultilevel"/>
    <w:tmpl w:val="F5F8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77E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C4B1EE0"/>
    <w:multiLevelType w:val="hybridMultilevel"/>
    <w:tmpl w:val="7D36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DC"/>
    <w:rsid w:val="00085E5B"/>
    <w:rsid w:val="00101B47"/>
    <w:rsid w:val="00127DBB"/>
    <w:rsid w:val="00150E7D"/>
    <w:rsid w:val="00174B8A"/>
    <w:rsid w:val="001D6D9E"/>
    <w:rsid w:val="00287A02"/>
    <w:rsid w:val="002D7BA3"/>
    <w:rsid w:val="003C2D00"/>
    <w:rsid w:val="004E2AB7"/>
    <w:rsid w:val="005907BD"/>
    <w:rsid w:val="006367DC"/>
    <w:rsid w:val="006D1416"/>
    <w:rsid w:val="0071482B"/>
    <w:rsid w:val="00743E40"/>
    <w:rsid w:val="00803C9C"/>
    <w:rsid w:val="00864DCC"/>
    <w:rsid w:val="008D4AD0"/>
    <w:rsid w:val="00952CBA"/>
    <w:rsid w:val="00963C72"/>
    <w:rsid w:val="00992D51"/>
    <w:rsid w:val="00992FC5"/>
    <w:rsid w:val="009C7A70"/>
    <w:rsid w:val="00A3757F"/>
    <w:rsid w:val="00A527AF"/>
    <w:rsid w:val="00C20F91"/>
    <w:rsid w:val="00C45D32"/>
    <w:rsid w:val="00CB4995"/>
    <w:rsid w:val="00D35E0B"/>
    <w:rsid w:val="00D50FD3"/>
    <w:rsid w:val="00E91845"/>
    <w:rsid w:val="00F653DE"/>
    <w:rsid w:val="00F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C1F6-B63D-48B7-971F-D3D58CB3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rPr>
      <w:sz w:val="22"/>
    </w:rPr>
  </w:style>
  <w:style w:type="paragraph" w:styleId="BodyText3">
    <w:name w:val="Body Text 3"/>
    <w:basedOn w:val="Normal"/>
    <w:semiHidden/>
    <w:pPr>
      <w:jc w:val="center"/>
    </w:pPr>
    <w:rPr>
      <w:sz w:val="14"/>
    </w:rPr>
  </w:style>
  <w:style w:type="table" w:styleId="TableGrid">
    <w:name w:val="Table Grid"/>
    <w:basedOn w:val="TableNormal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paragraph" w:styleId="ListParagraph">
    <w:name w:val="List Paragraph"/>
    <w:basedOn w:val="Normal"/>
    <w:uiPriority w:val="34"/>
    <w:qFormat/>
    <w:rsid w:val="0071482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02741-7CEE-4D20-BA60-1078A04B74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Paweł Koryciński</dc:creator>
  <cp:keywords>Zadanie 1</cp:keywords>
  <cp:lastModifiedBy>Pawel Korytko</cp:lastModifiedBy>
  <cp:revision>2</cp:revision>
  <cp:lastPrinted>2002-03-04T22:20:00Z</cp:lastPrinted>
  <dcterms:created xsi:type="dcterms:W3CDTF">2016-03-18T19:48:00Z</dcterms:created>
  <dcterms:modified xsi:type="dcterms:W3CDTF">2016-03-18T19:48:00Z</dcterms:modified>
</cp:coreProperties>
</file>