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b/>
          <w:color w:val="101820"/>
          <w:sz w:val="60"/>
        </w:rPr>
        <w:t>SAMC BRAND GUIDELINES</w:t>
      </w:r>
    </w:p>
    <w:p>
      <w:pPr>
        <w:jc w:val="center"/>
      </w:pPr>
      <w:r>
        <w:rPr>
          <w:color w:val="475569"/>
          <w:sz w:val="24"/>
        </w:rPr>
        <w:t>Institutional Crest Edition · v2.1 · EN + বাংলা</w:t>
      </w:r>
    </w:p>
    <w:p>
      <w:pPr>
        <w:jc w:val="center"/>
      </w:pPr>
      <w:r>
        <w:rPr>
          <w:color w:val="64748B"/>
          <w:sz w:val="20"/>
        </w:rPr>
        <w:t>Built from the actual SAMC crest supplied by the institution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b/>
                <w:color w:val="006FC9"/>
                <w:sz w:val="17"/>
              </w:rPr>
              <w:t>MASTER IDENTITY</w:t>
            </w:r>
          </w:p>
          <w:p>
            <w:r>
              <w:rPr>
                <w:sz w:val="20"/>
              </w:rPr>
              <w:t>The supplied SAMC crest—not a newly invented symbol—is the primary institutional identity reference.</w:t>
            </w:r>
          </w:p>
        </w:tc>
      </w:tr>
    </w:tbl>
    <w:p/>
    <w:p>
      <w:r/>
    </w:p>
    <w:p>
      <w:r>
        <w:rPr>
          <w:b/>
          <w:color w:val="64748B"/>
          <w:sz w:val="17"/>
        </w:rPr>
        <w:t>00 / IDENTITY</w:t>
      </w:r>
    </w:p>
    <w:p>
      <w:r>
        <w:rPr>
          <w:b/>
          <w:color w:val="101820"/>
          <w:sz w:val="48"/>
        </w:rPr>
        <w:t>The crest is the institution</w:t>
      </w:r>
    </w:p>
    <w:p>
      <w:r>
        <w:rPr>
          <w:color w:val="334155"/>
          <w:sz w:val="21"/>
        </w:rPr>
        <w:t>The supplied crest combines the institutional name, medical emblem, red/blue field, stars, ESTD: 2021 and SAMC ribbon into one formal identity.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Approved expression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Master identity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SAMC crest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Primary institutional mark.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Formal name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South Apollo Medical College &amp; Hospital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Use approved legal wording when required.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Care division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SAMC / Medical Care Services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Descriptor, not a separate logo.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Education division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SAMC / Medical Professional Education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Descriptor, not a separate logo.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Research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SAMC / Research &amp; Innovation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Descriptor, not a separate logo.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b/>
                <w:color w:val="006FC9"/>
                <w:sz w:val="17"/>
              </w:rPr>
              <w:t>NAME CONTROL</w:t>
            </w:r>
          </w:p>
          <w:p>
            <w:r>
              <w:rPr>
                <w:sz w:val="20"/>
              </w:rPr>
              <w:t>The supplied crest reads “SOUTH APOLLO MEDICAL COLLEGE &amp; HOSPITAL.” Some earlier concepts used a different name. Until the legal wording is formally confirmed, the supplied crest and SAMC short form should be treated as the visual reference.</w:t>
            </w:r>
          </w:p>
        </w:tc>
      </w:tr>
    </w:tbl>
    <w:p/>
    <w:p>
      <w:r>
        <w:rPr>
          <w:b/>
          <w:color w:val="64748B"/>
          <w:sz w:val="17"/>
        </w:rPr>
        <w:t>01 / CREST ANATOMY</w:t>
      </w:r>
    </w:p>
    <w:p>
      <w:r>
        <w:rPr>
          <w:b/>
          <w:color w:val="101820"/>
          <w:sz w:val="48"/>
        </w:rPr>
        <w:t>Preserve the artwork</w:t>
      </w:r>
    </w:p>
    <w:p>
      <w:r>
        <w:rPr>
          <w:color w:val="334155"/>
          <w:sz w:val="21"/>
        </w:rPr>
        <w:t>The crest is a seal. Its individual elements may be explained, but they must not be rearranged, redrawn or independently stylized.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Outer ring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Institutional name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Do not re-typeset.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Caduceus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Medical identity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Preserve as supplied.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Red field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Clinical/visual emphasis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Part of the crest.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Blue field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Institutional/academic emphasis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Part of the crest.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Cyan + yellow lines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Internal graphic motif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Do not extract casually.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Stars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Formal emblem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Do not move or duplicate.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ESTD: 2021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Origin marker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Do not alter.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SAMC ribbon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Short name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Do not replace lettering.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b/>
                <w:color w:val="006FC9"/>
                <w:sz w:val="17"/>
              </w:rPr>
              <w:t>MASTER ARTWORK</w:t>
            </w:r>
          </w:p>
          <w:p>
            <w:r>
              <w:rPr>
                <w:sz w:val="20"/>
              </w:rPr>
              <w:t>Use the approved master vector/raster file. Never rebuild the crest manually.</w:t>
            </w:r>
          </w:p>
        </w:tc>
      </w:tr>
    </w:tbl>
    <w:p/>
    <w:p>
      <w:r>
        <w:rPr>
          <w:b/>
          <w:color w:val="64748B"/>
          <w:sz w:val="17"/>
        </w:rPr>
        <w:t>02 / LOGO USE</w:t>
      </w:r>
    </w:p>
    <w:p>
      <w:r>
        <w:rPr>
          <w:b/>
          <w:color w:val="101820"/>
          <w:sz w:val="48"/>
        </w:rPr>
        <w:t>Clear, formal and consistent</w:t>
      </w:r>
    </w:p>
    <w:p>
      <w:pPr>
        <w:pBdr>
          <w:bottom w:val="single" w:sz="7" w:space="8" w:color="D8E1E8"/>
        </w:pBdr>
      </w:pPr>
    </w:p>
    <w:p>
      <w:pPr>
        <w:pStyle w:val="ListBullet"/>
        <w:spacing w:after="60"/>
      </w:pPr>
      <w:r>
        <w:t>Use the full-color crest on white or very light backgrounds whenever possible.</w:t>
      </w:r>
    </w:p>
    <w:p>
      <w:pPr>
        <w:pStyle w:val="ListBullet"/>
        <w:spacing w:after="60"/>
      </w:pPr>
      <w:r>
        <w:t>Maintain clear space around the outermost visible point of the crest.</w:t>
      </w:r>
    </w:p>
    <w:p>
      <w:pPr>
        <w:pStyle w:val="ListBullet"/>
        <w:spacing w:after="60"/>
      </w:pPr>
      <w:r>
        <w:t>Create separate approved print, digital, monochrome and reverse variants from the master asset.</w:t>
      </w:r>
    </w:p>
    <w:p>
      <w:pPr>
        <w:pStyle w:val="ListBullet"/>
        <w:spacing w:after="60"/>
      </w:pPr>
      <w:r>
        <w:t>Establish minimum sizes by application: print, signage, website, app icon and embroidery.</w:t>
      </w:r>
    </w:p>
    <w:p>
      <w:pPr>
        <w:pStyle w:val="ListBullet"/>
        <w:spacing w:after="60"/>
      </w:pPr>
      <w:r>
        <w:t>Never stretch, compress, rotate, shadow, bevel, outline or recolor the crest.</w:t>
      </w:r>
    </w:p>
    <w:p>
      <w:pPr>
        <w:pStyle w:val="ListBullet"/>
        <w:spacing w:after="60"/>
      </w:pPr>
      <w:r>
        <w:t>Never place the full crest over a busy photograph where its lettering becomes unreadable.</w:t>
      </w:r>
    </w:p>
    <w:p>
      <w:pPr>
        <w:pStyle w:val="ListBullet"/>
        <w:spacing w:after="60"/>
      </w:pPr>
      <w:r>
        <w:t>Do not use the crest as a repeating decorative pattern.</w:t>
      </w:r>
    </w:p>
    <w:p>
      <w:r>
        <w:rPr>
          <w:b/>
          <w:color w:val="64748B"/>
          <w:sz w:val="17"/>
        </w:rPr>
        <w:t>03 / COLOR</w:t>
      </w:r>
    </w:p>
    <w:p>
      <w:r>
        <w:rPr>
          <w:b/>
          <w:color w:val="101820"/>
          <w:sz w:val="48"/>
        </w:rPr>
        <w:t>Crest-derived institutional palette</w:t>
      </w:r>
    </w:p>
    <w:p>
      <w:r>
        <w:rPr>
          <w:color w:val="334155"/>
          <w:sz w:val="21"/>
        </w:rPr>
        <w:t>The crest is multicolor, but external brand applications should remain disciplined. One site or campaign should use one controlled working set.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Institutional Blue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#0076D7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Primary actions, links, headings, fields.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Deep Blue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#005AA8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Formal text accents and strong surfaces.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Clinical Red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#F20D16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Critical/urgent information and restrained accents.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Crest Cyan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#21B7EA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Secondary highlights.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Crest Yellow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#FFD21A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Small highlights only.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Black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#111111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Formal text.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White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#FFFFFF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Primary negative space.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Soft Blue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#F2F8FD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Quiet panels and UI surfaces.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b/>
                <w:color w:val="006FC9"/>
                <w:sz w:val="17"/>
              </w:rPr>
              <w:t>ONE-SITE RULE</w:t>
            </w:r>
          </w:p>
          <w:p>
            <w:r>
              <w:rPr>
                <w:sz w:val="20"/>
              </w:rPr>
              <w:t>Keep the crest itself intact. Outside the crest, do not scatter all crest colors throughout the interface. Select a controlled working set for the site/campaign and keep it consistent.</w:t>
            </w:r>
          </w:p>
        </w:tc>
      </w:tr>
    </w:tbl>
    <w:p/>
    <w:p>
      <w:r>
        <w:rPr>
          <w:b/>
          <w:color w:val="64748B"/>
          <w:sz w:val="17"/>
        </w:rPr>
        <w:t>04 / TYPOGRAPHY</w:t>
      </w:r>
    </w:p>
    <w:p>
      <w:r>
        <w:rPr>
          <w:b/>
          <w:color w:val="101820"/>
          <w:sz w:val="48"/>
        </w:rPr>
        <w:t>Academic authority + modern usability</w:t>
      </w:r>
    </w:p>
    <w:p>
      <w:r>
        <w:rPr>
          <w:color w:val="334155"/>
          <w:sz w:val="21"/>
        </w:rPr>
        <w:t>The crest already carries a traditional academic character. Supporting typography should therefore be clean and restrained.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06FC9"/>
          </w:tcPr>
          <w:p>
            <w:r>
              <w:rPr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2541"/>
            <w:shd w:fill="006FC9"/>
          </w:tcPr>
          <w:p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2541"/>
            <w:shd w:fill="006FC9"/>
          </w:tcPr>
          <w:p>
            <w:r>
              <w:rPr>
                <w:b/>
                <w:color w:val="FFFFFF"/>
                <w:sz w:val="17"/>
              </w:rPr>
              <w:t>Bangla</w:t>
            </w:r>
          </w:p>
        </w:tc>
        <w:tc>
          <w:tcPr>
            <w:tcW w:type="dxa" w:w="2541"/>
            <w:shd w:fill="006FC9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541"/>
            <w:shd w:fill="FAFCFE"/>
          </w:tcPr>
          <w:p>
            <w:r>
              <w:rPr>
                <w:color w:val="273444"/>
                <w:sz w:val="16"/>
              </w:rPr>
              <w:t>Primary web/UI</w:t>
            </w:r>
          </w:p>
        </w:tc>
        <w:tc>
          <w:tcPr>
            <w:tcW w:type="dxa" w:w="2541"/>
          </w:tcPr>
          <w:p>
            <w:r>
              <w:rPr>
                <w:color w:val="273444"/>
                <w:sz w:val="16"/>
              </w:rPr>
              <w:t>Aptos</w:t>
            </w:r>
          </w:p>
        </w:tc>
        <w:tc>
          <w:tcPr>
            <w:tcW w:type="dxa" w:w="2541"/>
            <w:shd w:fill="FAFCFE"/>
          </w:tcPr>
          <w:p>
            <w:r>
              <w:rPr>
                <w:color w:val="273444"/>
                <w:sz w:val="16"/>
              </w:rPr>
              <w:t>Hind Siliguri</w:t>
            </w:r>
          </w:p>
        </w:tc>
        <w:tc>
          <w:tcPr>
            <w:tcW w:type="dxa" w:w="2541"/>
          </w:tcPr>
          <w:p>
            <w:r>
              <w:rPr>
                <w:color w:val="273444"/>
                <w:sz w:val="16"/>
              </w:rPr>
              <w:t>Main institutional system.</w:t>
            </w:r>
          </w:p>
        </w:tc>
      </w:tr>
      <w:tr>
        <w:tc>
          <w:tcPr>
            <w:tcW w:type="dxa" w:w="2541"/>
            <w:shd w:fill="FAFCFE"/>
          </w:tcPr>
          <w:p>
            <w:r>
              <w:rPr>
                <w:color w:val="273444"/>
                <w:sz w:val="16"/>
              </w:rPr>
              <w:t>Formal print</w:t>
            </w:r>
          </w:p>
        </w:tc>
        <w:tc>
          <w:tcPr>
            <w:tcW w:type="dxa" w:w="2541"/>
          </w:tcPr>
          <w:p>
            <w:r>
              <w:rPr>
                <w:color w:val="273444"/>
                <w:sz w:val="16"/>
              </w:rPr>
              <w:t>Approved serif where needed</w:t>
            </w:r>
          </w:p>
        </w:tc>
        <w:tc>
          <w:tcPr>
            <w:tcW w:type="dxa" w:w="2541"/>
            <w:shd w:fill="FAFCFE"/>
          </w:tcPr>
          <w:p>
            <w:r>
              <w:rPr>
                <w:color w:val="273444"/>
                <w:sz w:val="16"/>
              </w:rPr>
              <w:t>Approved Bengali serif where needed</w:t>
            </w:r>
          </w:p>
        </w:tc>
        <w:tc>
          <w:tcPr>
            <w:tcW w:type="dxa" w:w="2541"/>
          </w:tcPr>
          <w:p>
            <w:r>
              <w:rPr>
                <w:color w:val="273444"/>
                <w:sz w:val="16"/>
              </w:rPr>
              <w:t>Ceremonial exception only.</w:t>
            </w:r>
          </w:p>
        </w:tc>
      </w:tr>
      <w:tr>
        <w:tc>
          <w:tcPr>
            <w:tcW w:type="dxa" w:w="2541"/>
            <w:shd w:fill="FAFCFE"/>
          </w:tcPr>
          <w:p>
            <w:r>
              <w:rPr>
                <w:color w:val="273444"/>
                <w:sz w:val="16"/>
              </w:rPr>
              <w:t>Clinical/data</w:t>
            </w:r>
          </w:p>
        </w:tc>
        <w:tc>
          <w:tcPr>
            <w:tcW w:type="dxa" w:w="2541"/>
          </w:tcPr>
          <w:p>
            <w:r>
              <w:rPr>
                <w:color w:val="273444"/>
                <w:sz w:val="16"/>
              </w:rPr>
              <w:t>Aptos</w:t>
            </w:r>
          </w:p>
        </w:tc>
        <w:tc>
          <w:tcPr>
            <w:tcW w:type="dxa" w:w="2541"/>
            <w:shd w:fill="FAFCFE"/>
          </w:tcPr>
          <w:p>
            <w:r>
              <w:rPr>
                <w:color w:val="273444"/>
                <w:sz w:val="16"/>
              </w:rPr>
              <w:t>Hind Siliguri</w:t>
            </w:r>
          </w:p>
        </w:tc>
        <w:tc>
          <w:tcPr>
            <w:tcW w:type="dxa" w:w="2541"/>
          </w:tcPr>
          <w:p>
            <w:r>
              <w:rPr>
                <w:color w:val="273444"/>
                <w:sz w:val="16"/>
              </w:rPr>
              <w:t>Clarity first.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b/>
                <w:color w:val="006FC9"/>
                <w:sz w:val="17"/>
              </w:rPr>
              <w:t>MAXIMUM TYPE RULE</w:t>
            </w:r>
          </w:p>
          <w:p>
            <w:r>
              <w:rPr>
                <w:sz w:val="20"/>
              </w:rPr>
              <w:t>For the main digital system, maximum two everyday type families: one English and one Bangla. Do not add fonts simply for decoration.</w:t>
            </w:r>
          </w:p>
        </w:tc>
      </w:tr>
    </w:tbl>
    <w:p/>
    <w:p>
      <w:r>
        <w:rPr>
          <w:b/>
          <w:color w:val="64748B"/>
          <w:sz w:val="17"/>
        </w:rPr>
        <w:t>05 / BILINGUAL</w:t>
      </w:r>
    </w:p>
    <w:p>
      <w:r>
        <w:rPr>
          <w:b/>
          <w:color w:val="101820"/>
          <w:sz w:val="48"/>
        </w:rPr>
        <w:t>English + বাংলা are equal states</w:t>
      </w:r>
    </w:p>
    <w:p>
      <w:r>
        <w:rPr>
          <w:color w:val="334155"/>
          <w:sz w:val="21"/>
        </w:rPr>
        <w:t>Every public-facing digital experience should be designed as two complete language states.</w:t>
      </w:r>
    </w:p>
    <w:p>
      <w:pPr>
        <w:pBdr>
          <w:bottom w:val="single" w:sz="7" w:space="8" w:color="D8E1E8"/>
        </w:pBdr>
      </w:pPr>
    </w:p>
    <w:p>
      <w:pPr>
        <w:pStyle w:val="ListBullet"/>
        <w:spacing w:after="60"/>
      </w:pPr>
      <w:r>
        <w:t>Persistent EN / বাংলা switch.</w:t>
      </w:r>
    </w:p>
    <w:p>
      <w:pPr>
        <w:pStyle w:val="ListBullet"/>
        <w:spacing w:after="60"/>
      </w:pPr>
      <w:r>
        <w:t>Every core English page has a corresponding Bangla page and vice versa.</w:t>
      </w:r>
    </w:p>
    <w:p>
      <w:pPr>
        <w:pStyle w:val="ListBullet"/>
        <w:spacing w:after="60"/>
      </w:pPr>
      <w:r>
        <w:t>Recommended /en/... and /bn/... structure.</w:t>
      </w:r>
    </w:p>
    <w:p>
      <w:pPr>
        <w:pStyle w:val="ListBullet"/>
        <w:spacing w:after="60"/>
      </w:pPr>
      <w:r>
        <w:t>Navigation, buttons, forms, validation, errors, confirmations and help are bilingual.</w:t>
      </w:r>
    </w:p>
    <w:p>
      <w:pPr>
        <w:pStyle w:val="ListBullet"/>
        <w:spacing w:after="60"/>
      </w:pPr>
      <w:r>
        <w:t>Patient-facing information uses plain, natural Bangla.</w:t>
      </w:r>
    </w:p>
    <w:p>
      <w:pPr>
        <w:pStyle w:val="ListBullet"/>
        <w:spacing w:after="60"/>
      </w:pPr>
      <w:r>
        <w:t>Accepted medical English may appear in parentheses when clinically useful.</w:t>
      </w:r>
    </w:p>
    <w:p>
      <w:pPr>
        <w:pStyle w:val="ListBullet"/>
        <w:spacing w:after="60"/>
      </w:pPr>
      <w:r>
        <w:t>Bangla is LTR and receives independent responsive QA.</w:t>
      </w:r>
    </w:p>
    <w:p>
      <w:pPr>
        <w:pStyle w:val="ListBullet"/>
        <w:spacing w:after="60"/>
      </w:pPr>
      <w:r>
        <w:t>Literal machine translation is not a final publishing standard.</w:t>
      </w:r>
    </w:p>
    <w:p>
      <w:pPr>
        <w:pStyle w:val="ListBullet"/>
        <w:spacing w:after="60"/>
      </w:pPr>
      <w:r>
        <w:t>Missing critical translation is a release blocker.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QA area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বাংলা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Navigation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No truncation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No clipping / overflow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Buttons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Correct width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Correct width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Headlines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Expected hierarchy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Expected hierarchy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Forms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Aligned labels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Aligned labels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Mobile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No overflow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No overflow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Accessibility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Contrast / focus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Contrast / rendering</w:t>
            </w:r>
          </w:p>
        </w:tc>
      </w:tr>
    </w:tbl>
    <w:p/>
    <w:p>
      <w:r>
        <w:rPr>
          <w:b/>
          <w:color w:val="64748B"/>
          <w:sz w:val="17"/>
        </w:rPr>
        <w:t>06 / INSTITUTIONAL ARCHITECTURE</w:t>
      </w:r>
    </w:p>
    <w:p>
      <w:r>
        <w:rPr>
          <w:b/>
          <w:color w:val="101820"/>
          <w:sz w:val="48"/>
        </w:rPr>
        <w:t>One SAMC · two core divisions</w:t>
      </w:r>
    </w:p>
    <w:p>
      <w:r>
        <w:rPr>
          <w:color w:val="334155"/>
          <w:sz w:val="21"/>
        </w:rPr>
        <w:t>The visual identity should mirror the institution's operating model: medical care and medical professional education under one master SAMC identity.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Master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Division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Descriptor language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SAMC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Medical Care Services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Care · Safety · Service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SAMC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Medical Professional Education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Knowledge · Skills · Excellence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SAMC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Research &amp; Innovation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Evidence · Discovery · Impact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b/>
                <w:color w:val="006FC9"/>
                <w:sz w:val="17"/>
              </w:rPr>
              <w:t>ARCHITECTURE RULE</w:t>
            </w:r>
          </w:p>
          <w:p>
            <w:r>
              <w:rPr>
                <w:sz w:val="20"/>
              </w:rPr>
              <w:t>Do not create separate crests for divisions. Use one SAMC master identity plus a consistent descriptor system.</w:t>
            </w:r>
          </w:p>
        </w:tc>
      </w:tr>
    </w:tbl>
    <w:p/>
    <w:p>
      <w:r>
        <w:rPr>
          <w:b/>
          <w:color w:val="64748B"/>
          <w:sz w:val="17"/>
        </w:rPr>
        <w:t>07 / PHOTOGRAPHY</w:t>
      </w:r>
    </w:p>
    <w:p>
      <w:r>
        <w:rPr>
          <w:b/>
          <w:color w:val="101820"/>
          <w:sz w:val="48"/>
        </w:rPr>
        <w:t>HD imagery is a core brand asset</w:t>
      </w:r>
    </w:p>
    <w:p>
      <w:r>
        <w:rPr>
          <w:color w:val="334155"/>
          <w:sz w:val="21"/>
        </w:rPr>
        <w:t>The institution should look real, credible and human—not like a generic healthcare startup.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Preferred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Medical care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Consultation, nursing, diagnostics, procedures, patient journey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Artificial stock-photo clinical scenes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Education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Teaching rounds, simulation, labs, skills training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Generic classroom stock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Research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Laboratories, imaging, researchers, data, technology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Science-fiction imagery presented as reality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Community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Families, outreach, public health, local people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Exploitative poverty imagery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Campus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Architecture, learning spaces, gardens, wayfinding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Unverified renders shown as current reality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6FC9"/>
            </w:tcBorders>
          </w:tcPr>
          <w:p>
            <w:r>
              <w:rPr>
                <w:b/>
                <w:color w:val="006FC9"/>
                <w:sz w:val="17"/>
              </w:rPr>
              <w:t>HD PLACEHOLDER STANDARD</w:t>
            </w:r>
          </w:p>
          <w:p>
            <w:r>
              <w:rPr>
                <w:sz w:val="20"/>
              </w:rPr>
              <w:t>Reserve large HD-photo areas on major pages and campaigns. Define crop ratio, focal point, caption and alt-text zones before final photography is inserted.</w:t>
            </w:r>
          </w:p>
        </w:tc>
      </w:tr>
    </w:tbl>
    <w:p/>
    <w:p>
      <w:r>
        <w:rPr>
          <w:b/>
          <w:color w:val="64748B"/>
          <w:sz w:val="17"/>
        </w:rPr>
        <w:t>08 / 77 CREATIVE LIBRARY</w:t>
      </w:r>
    </w:p>
    <w:p>
      <w:r>
        <w:rPr>
          <w:b/>
          <w:color w:val="101820"/>
          <w:sz w:val="48"/>
        </w:rPr>
        <w:t>One master identity, 77 production surfaces</w:t>
      </w:r>
    </w:p>
    <w:p>
      <w:r>
        <w:rPr>
          <w:color w:val="334155"/>
          <w:sz w:val="21"/>
        </w:rPr>
        <w:t>Every creative type inherits the actual crest, institutional palette, bilingual standard and one-site/one-set discipline.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5AA8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89"/>
            <w:shd w:fill="005AA8"/>
          </w:tcPr>
          <w:p>
            <w:r>
              <w:rPr>
                <w:b/>
                <w:color w:val="FFFFFF"/>
                <w:sz w:val="17"/>
              </w:rPr>
              <w:t>Creative type</w:t>
            </w:r>
          </w:p>
        </w:tc>
        <w:tc>
          <w:tcPr>
            <w:tcW w:type="dxa" w:w="3389"/>
            <w:shd w:fill="005AA8"/>
          </w:tcPr>
          <w:p>
            <w:r>
              <w:rPr>
                <w:b/>
                <w:color w:val="FFFFFF"/>
                <w:sz w:val="17"/>
              </w:rPr>
              <w:t>Language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Master logo lockup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Horizontal logo lockup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Vertical / stacked lockup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Symbol / emblem mark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Monochrome positive mark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Monochrome reverse mark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Minimum-size logo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08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Clear-space diagram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09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Incorrect-use sheet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10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Co-brand / partner lockup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Division descriptor lockup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Department descriptor lockup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Campus / facility identifier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Bilingual master lockup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Bilingual nameplate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Favicon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App icon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18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Social avatar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Language-neutral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19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Email signature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20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Letterhead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Continuation sheet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Envelope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Business card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ID card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Appointment card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Prescription / clinical stationery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Laboratory report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28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Radiology report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29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Discharge summary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30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Medical certificate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Academic certificate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Transcript / marksheet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Admission letter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Student handbook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Faculty handbook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Research paper / journal template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Annual report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38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Quality / accreditation report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39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Hospital signage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40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Wayfinding arrows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Room / department plaques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Emergency signage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Accessibility signage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Parking / arrival signage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Visitor badge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Staff uniform / apparel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Medical coat embroidery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48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Student apparel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49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Vehicle livery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50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Ambulance identity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Outdoor banner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Indoor poster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Roll-up banner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Conference backdrop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Name badge / speaker badge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Presentation master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Infographic system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58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Data visualization system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59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Social media post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60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Social media story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Social media cover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Recruitment campaign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Admissions campaign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Community health campaign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Patient education sheet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Health awareness campaign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Research announcement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68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CME / CPD campaign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69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Event invitation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70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Event ticket / QR pass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71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Website design system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72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Digital portal / dashboard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73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Mobile UI system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74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Email newsletter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75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Digital advertising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76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Merchandise / premium collateral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77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Environmental / experiential brand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 + BN</w:t>
            </w:r>
          </w:p>
        </w:tc>
      </w:tr>
    </w:tbl>
    <w:p/>
    <w:p>
      <w:r>
        <w:rPr>
          <w:b/>
          <w:color w:val="64748B"/>
          <w:sz w:val="17"/>
        </w:rPr>
        <w:t>09 / DIGITAL</w:t>
      </w:r>
    </w:p>
    <w:p>
      <w:r>
        <w:rPr>
          <w:b/>
          <w:color w:val="101820"/>
          <w:sz w:val="48"/>
        </w:rPr>
        <w:t>Website behavior</w:t>
      </w:r>
    </w:p>
    <w:p>
      <w:r>
        <w:rPr>
          <w:color w:val="334155"/>
          <w:sz w:val="21"/>
        </w:rPr>
        <w:t>The website may be contemporary and spacious, but the actual SAMC crest remains the anchor.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6FC9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83"/>
            <w:shd w:fill="006FC9"/>
          </w:tcPr>
          <w:p>
            <w:r>
              <w:rPr>
                <w:b/>
                <w:color w:val="FFFFFF"/>
                <w:sz w:val="17"/>
              </w:rPr>
              <w:t>Standard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Header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Crest + SAMC identity + EN / বাংলা.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Hero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Large HD photo or institutional visual; concise headline; one primary action.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Navigation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Simple, high contrast, bilingual.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Cards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Consistent spacing and one controlled palette.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Icons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Monochrome line icons, subordinate to identity.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Footer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Institutional identity, contact, legal and language utilities.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Mobile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Independent EN and BN responsive states.</w:t>
            </w:r>
          </w:p>
        </w:tc>
      </w:tr>
    </w:tbl>
    <w:p/>
    <w:p>
      <w:r>
        <w:rPr>
          <w:b/>
          <w:color w:val="64748B"/>
          <w:sz w:val="17"/>
        </w:rPr>
        <w:t>10 / GOVERNANCE</w:t>
      </w:r>
    </w:p>
    <w:p>
      <w:r>
        <w:rPr>
          <w:b/>
          <w:color w:val="101820"/>
          <w:sz w:val="48"/>
        </w:rPr>
        <w:t>Protect the master identity</w:t>
      </w:r>
    </w:p>
    <w:p>
      <w:r>
        <w:rPr>
          <w:color w:val="334155"/>
          <w:sz w:val="21"/>
        </w:rPr>
        <w:t>A crest-led institution needs one authoritative source of truth.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389"/>
            <w:shd w:fill="006FC9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Master crest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Institutional brand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Single approved master file.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Legal name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Institutional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Legal wording overrides design preference.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Color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Brand owner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Version-controlled values.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Bangla terminology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Content/language owner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Approved terminology list.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Clinical communication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Clinical + communications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Accuracy before aesthetics.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Academic communication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Academic + communications authority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Accuracy + consistency.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Digital UI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Digital/product owner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EN/BN parity + accessibility.</w:t>
            </w:r>
          </w:p>
        </w:tc>
      </w:tr>
      <w:tr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Photography</w:t>
            </w:r>
          </w:p>
        </w:tc>
        <w:tc>
          <w:tcPr>
            <w:tcW w:type="dxa" w:w="3389"/>
          </w:tcPr>
          <w:p>
            <w:r>
              <w:rPr>
                <w:color w:val="273444"/>
                <w:sz w:val="16"/>
              </w:rPr>
              <w:t>Communications + privacy owner</w:t>
            </w:r>
          </w:p>
        </w:tc>
        <w:tc>
          <w:tcPr>
            <w:tcW w:type="dxa" w:w="3389"/>
            <w:shd w:fill="FAFCFE"/>
          </w:tcPr>
          <w:p>
            <w:r>
              <w:rPr>
                <w:color w:val="273444"/>
                <w:sz w:val="16"/>
              </w:rPr>
              <w:t>Rights, consent, dignity.</w:t>
            </w:r>
          </w:p>
        </w:tc>
      </w:tr>
    </w:tbl>
    <w:p/>
    <w:p>
      <w:r>
        <w:rPr>
          <w:b/>
          <w:color w:val="64748B"/>
          <w:sz w:val="17"/>
        </w:rPr>
        <w:t>11 / RELEASE CHECKLIST</w:t>
      </w:r>
    </w:p>
    <w:p>
      <w:r>
        <w:rPr>
          <w:b/>
          <w:color w:val="101820"/>
          <w:sz w:val="48"/>
        </w:rPr>
        <w:t>Nothing ships until it passes</w:t>
      </w:r>
    </w:p>
    <w:p>
      <w:pPr>
        <w:pBdr>
          <w:bottom w:val="single" w:sz="7" w:space="8" w:color="D8E1E8"/>
        </w:pBdr>
      </w:pPr>
    </w:p>
    <w:p>
      <w:pPr>
        <w:pStyle w:val="ListBullet"/>
        <w:spacing w:after="60"/>
      </w:pPr>
      <w:r>
        <w:t>Correct approved SAMC crest used.</w:t>
      </w:r>
    </w:p>
    <w:p>
      <w:pPr>
        <w:pStyle w:val="ListBullet"/>
        <w:spacing w:after="60"/>
      </w:pPr>
      <w:r>
        <w:t>Correct institutional/legal name used where required.</w:t>
      </w:r>
    </w:p>
    <w:p>
      <w:pPr>
        <w:pStyle w:val="ListBullet"/>
        <w:spacing w:after="60"/>
      </w:pPr>
      <w:r>
        <w:t>No alteration of crest artwork.</w:t>
      </w:r>
    </w:p>
    <w:p>
      <w:pPr>
        <w:pStyle w:val="ListBullet"/>
        <w:spacing w:after="60"/>
      </w:pPr>
      <w:r>
        <w:t>One controlled color set used outside the crest.</w:t>
      </w:r>
    </w:p>
    <w:p>
      <w:pPr>
        <w:pStyle w:val="ListBullet"/>
        <w:spacing w:after="60"/>
      </w:pPr>
      <w:r>
        <w:t>English and Bangla content complete.</w:t>
      </w:r>
    </w:p>
    <w:p>
      <w:pPr>
        <w:pStyle w:val="ListBullet"/>
        <w:spacing w:after="60"/>
      </w:pPr>
      <w:r>
        <w:t>Bangla rendering tested on target devices.</w:t>
      </w:r>
    </w:p>
    <w:p>
      <w:pPr>
        <w:pStyle w:val="ListBullet"/>
        <w:spacing w:after="60"/>
      </w:pPr>
      <w:r>
        <w:t>HD photography approved, licensed and appropriately cropped.</w:t>
      </w:r>
    </w:p>
    <w:p>
      <w:pPr>
        <w:pStyle w:val="ListBullet"/>
        <w:spacing w:after="60"/>
      </w:pPr>
      <w:r>
        <w:t>Patient privacy and dignity protected.</w:t>
      </w:r>
    </w:p>
    <w:p>
      <w:pPr>
        <w:pStyle w:val="ListBullet"/>
        <w:spacing w:after="60"/>
      </w:pPr>
      <w:r>
        <w:t>Accessibility and contrast checked.</w:t>
      </w:r>
    </w:p>
    <w:p>
      <w:pPr>
        <w:pStyle w:val="ListBullet"/>
        <w:spacing w:after="60"/>
      </w:pPr>
      <w:r>
        <w:t>Responsive EN/BN states tested.</w:t>
      </w:r>
    </w:p>
    <w:p>
      <w:pPr>
        <w:pStyle w:val="ListBullet"/>
        <w:spacing w:after="60"/>
      </w:pPr>
      <w:r>
        <w:t>Source files and exports archived.</w:t>
      </w:r>
    </w:p>
    <w:p>
      <w:pPr>
        <w:pStyle w:val="ListBullet"/>
        <w:spacing w:after="60"/>
      </w:pPr>
      <w:r>
        <w:t>Version and approval status recorded.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8FB"/>
            <w:tcBorders>
              <w:left w:val="single" w:sz="18" w:color="005AA8"/>
            </w:tcBorders>
          </w:tcPr>
          <w:p>
            <w:r>
              <w:rPr>
                <w:b/>
                <w:color w:val="005AA8"/>
                <w:sz w:val="17"/>
              </w:rPr>
              <w:t>FINAL RULE</w:t>
            </w:r>
          </w:p>
          <w:p>
            <w:r>
              <w:rPr>
                <w:sz w:val="20"/>
              </w:rPr>
              <w:t>The crest is the identity. Color, typography, photography, UI, signage and campaigns exist to make that identity clearer, more credible and more useful.</w:t>
            </w:r>
          </w:p>
        </w:tc>
      </w:tr>
    </w:tbl>
    <w:p/>
    <w:p>
      <w:r>
        <w:rPr>
          <w:b/>
          <w:color w:val="64748B"/>
          <w:sz w:val="17"/>
        </w:rPr>
        <w:t>APPENDIX</w:t>
      </w:r>
    </w:p>
    <w:p>
      <w:r>
        <w:rPr>
          <w:b/>
          <w:color w:val="101820"/>
          <w:sz w:val="48"/>
        </w:rPr>
        <w:t>Master asset library</w:t>
      </w:r>
    </w:p>
    <w:p>
      <w:r>
        <w:rPr>
          <w:color w:val="334155"/>
          <w:sz w:val="21"/>
        </w:rPr>
        <w:t>Recommended production structure for the final brand handoff.</w:t>
      </w:r>
    </w:p>
    <w:p>
      <w:pPr>
        <w:pBdr>
          <w:bottom w:val="single" w:sz="7" w:space="8" w:color="D8E1E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6FC9"/>
          </w:tcPr>
          <w:p>
            <w:r>
              <w:rPr>
                <w:b/>
                <w:color w:val="FFFFFF"/>
                <w:sz w:val="17"/>
              </w:rPr>
              <w:t>Folder</w:t>
            </w:r>
          </w:p>
        </w:tc>
        <w:tc>
          <w:tcPr>
            <w:tcW w:type="dxa" w:w="5083"/>
            <w:shd w:fill="006FC9"/>
          </w:tcPr>
          <w:p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01_MASTER_CREST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Vector, PNG, monochrome, reverse and minimum-size masters.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02_IDENTITY_RULES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Clear space, sizing and incorrect-use standards.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03_COLOR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Digital and print color specifications.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04_TYPE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English/Bangla fonts, hierarchy and licensing references.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05_BILINGUAL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Approved EN/BN terminology and QA.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06_PHOTOGRAPHY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HD library, rights, consent, crops and alt text.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07_77_CREATIVE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Editable masters for all 77 creative types.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08_DIGITAL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UI components, responsive states and accessibility.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09_PRINT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Print-ready artwork and vendor specifications.</w:t>
            </w:r>
          </w:p>
        </w:tc>
      </w:tr>
      <w:tr>
        <w:tc>
          <w:tcPr>
            <w:tcW w:type="dxa" w:w="5083"/>
            <w:shd w:fill="FAFCFE"/>
          </w:tcPr>
          <w:p>
            <w:r>
              <w:rPr>
                <w:color w:val="273444"/>
                <w:sz w:val="16"/>
              </w:rPr>
              <w:t>10_ARCHIVE</w:t>
            </w:r>
          </w:p>
        </w:tc>
        <w:tc>
          <w:tcPr>
            <w:tcW w:type="dxa" w:w="5083"/>
          </w:tcPr>
          <w:p>
            <w:r>
              <w:rPr>
                <w:color w:val="273444"/>
                <w:sz w:val="16"/>
              </w:rPr>
              <w:t>Superseded versions and approvals.</w:t>
            </w:r>
          </w:p>
        </w:tc>
      </w:tr>
    </w:tbl>
    <w:p/>
    <w:p>
      <w:r>
        <w:rPr>
          <w:color w:val="64748B"/>
          <w:sz w:val="18"/>
        </w:rPr>
        <w:t>This document is a design and identity standard. It does not itself establish trademark ownership, legal registration, clinical policy or regulatory approval.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490"/>
        <w:sz w:val="16"/>
      </w:rPr>
      <w:t xml:space="preserve">SAMC / BRAND GUIDELINES v2.1  ·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