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534B" w14:textId="77777777" w:rsidR="008D4B09" w:rsidRDefault="00000000">
      <w:pPr>
        <w:pStyle w:val="Heading1"/>
      </w:pPr>
      <w:r>
        <w:t>Booth Deletions vs Alliance Outcomes — Extended Summary</w:t>
      </w:r>
    </w:p>
    <w:p w14:paraId="5AF44C8C" w14:textId="77777777" w:rsidR="008D4B09" w:rsidRDefault="00000000">
      <w:r>
        <w:t>Date: 08-Sep-2025</w:t>
      </w:r>
    </w:p>
    <w:p w14:paraId="6929763E" w14:textId="77777777" w:rsidR="008D4B09" w:rsidRDefault="00000000">
      <w:pPr>
        <w:pStyle w:val="Heading2"/>
      </w:pPr>
      <w:r>
        <w:t>Win shares by deletion bin</w:t>
      </w:r>
    </w:p>
    <w:p w14:paraId="4F3E4AA4" w14:textId="77777777" w:rsidR="00F52B8B" w:rsidRDefault="00F52B8B"/>
    <w:tbl>
      <w:tblPr>
        <w:tblW w:w="7260" w:type="dxa"/>
        <w:tblInd w:w="113" w:type="dxa"/>
        <w:tblLook w:val="04A0" w:firstRow="1" w:lastRow="0" w:firstColumn="1" w:lastColumn="0" w:noHBand="0" w:noVBand="1"/>
      </w:tblPr>
      <w:tblGrid>
        <w:gridCol w:w="619"/>
        <w:gridCol w:w="1140"/>
        <w:gridCol w:w="1112"/>
        <w:gridCol w:w="834"/>
        <w:gridCol w:w="1121"/>
        <w:gridCol w:w="1179"/>
        <w:gridCol w:w="1072"/>
        <w:gridCol w:w="1009"/>
      </w:tblGrid>
      <w:tr w:rsidR="00F52B8B" w:rsidRPr="00F52B8B" w14:paraId="112048EF" w14:textId="77777777" w:rsidTr="00F52B8B">
        <w:trPr>
          <w:trHeight w:val="58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A6FD38F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SNO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bottom"/>
            <w:hideMark/>
          </w:tcPr>
          <w:p w14:paraId="3F13E3B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 xml:space="preserve">Deletions in </w:t>
            </w: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br/>
              <w:t>booth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bottom"/>
            <w:hideMark/>
          </w:tcPr>
          <w:p w14:paraId="7913203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Deleted_</w:t>
            </w: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br/>
              <w:t>Voters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DC6F3A8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Booths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bottom"/>
            <w:hideMark/>
          </w:tcPr>
          <w:p w14:paraId="047E579D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proofErr w:type="spellStart"/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Booths_IN</w:t>
            </w:r>
            <w:proofErr w:type="spellEnd"/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br/>
              <w:t>_FORM20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bottom"/>
            <w:hideMark/>
          </w:tcPr>
          <w:p w14:paraId="7DF3E4F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proofErr w:type="spellStart"/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INDIA_won</w:t>
            </w:r>
            <w:proofErr w:type="spellEnd"/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br/>
              <w:t>_Booths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bottom"/>
            <w:hideMark/>
          </w:tcPr>
          <w:p w14:paraId="10A2F9A0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proofErr w:type="spellStart"/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NDA_won</w:t>
            </w:r>
            <w:proofErr w:type="spellEnd"/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br/>
              <w:t>_Booths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bottom"/>
            <w:hideMark/>
          </w:tcPr>
          <w:p w14:paraId="574F1D34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proofErr w:type="spellStart"/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OT__won</w:t>
            </w:r>
            <w:proofErr w:type="spellEnd"/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br/>
              <w:t>_Booths</w:t>
            </w:r>
          </w:p>
        </w:tc>
      </w:tr>
      <w:tr w:rsidR="00F52B8B" w:rsidRPr="00F52B8B" w14:paraId="7231504B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A1A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AA0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 to 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F1D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7,24,078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4450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23,780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7E5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23,613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A75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9,481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A99D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11,331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C80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2,801</w:t>
            </w:r>
          </w:p>
        </w:tc>
      </w:tr>
      <w:tr w:rsidR="00F52B8B" w:rsidRPr="00F52B8B" w14:paraId="638D7B5A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48A7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0ECD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50 to 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AA09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21,68,473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F3C4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29,872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472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29,652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39D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11,599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4180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14,613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8A1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3,440</w:t>
            </w:r>
          </w:p>
        </w:tc>
      </w:tr>
      <w:tr w:rsidR="00F52B8B" w:rsidRPr="00F52B8B" w14:paraId="7352B0E4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08F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647E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100 to 149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1168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18,19,721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C89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15,055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A5A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14,955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7645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5,687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3D8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7,625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B97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1,643</w:t>
            </w:r>
          </w:p>
        </w:tc>
      </w:tr>
      <w:tr w:rsidR="00F52B8B" w:rsidRPr="00F52B8B" w14:paraId="2550CC3B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0E25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69E5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150 to 199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68D6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9,72,314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89C6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5,712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34F8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5,676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BEDF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2,036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545D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3,063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6E7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577</w:t>
            </w:r>
          </w:p>
        </w:tc>
      </w:tr>
      <w:tr w:rsidR="00F52B8B" w:rsidRPr="00F52B8B" w14:paraId="01DFFC94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AB8F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424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200 to 249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4409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4,61,266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2B9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2,093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7ACD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2,083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CAE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2E9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1,154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A6C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201</w:t>
            </w:r>
          </w:p>
        </w:tc>
      </w:tr>
      <w:tr w:rsidR="00F52B8B" w:rsidRPr="00F52B8B" w14:paraId="2EBB7FB5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71A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4D90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250 to 299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9719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2,03,652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662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0E34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B14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39E6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427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A7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65</w:t>
            </w:r>
          </w:p>
        </w:tc>
      </w:tr>
      <w:tr w:rsidR="00F52B8B" w:rsidRPr="00F52B8B" w14:paraId="3FCBF6E9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FDDF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39E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300 to 349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10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98,488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1770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E18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E616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3C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7B68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30</w:t>
            </w:r>
          </w:p>
        </w:tc>
      </w:tr>
      <w:tr w:rsidR="00F52B8B" w:rsidRPr="00F52B8B" w14:paraId="78FF5C6B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0FF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C0A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350 to 399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013D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46,040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65F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8DC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63E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C034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6D92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18</w:t>
            </w:r>
          </w:p>
        </w:tc>
      </w:tr>
      <w:tr w:rsidR="00F52B8B" w:rsidRPr="00F52B8B" w14:paraId="345EF2CD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61A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AD1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400 to 449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5E2F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33,143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1867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ED67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54E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A6A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CC29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10</w:t>
            </w:r>
          </w:p>
        </w:tc>
      </w:tr>
      <w:tr w:rsidR="00F52B8B" w:rsidRPr="00F52B8B" w14:paraId="6F14D5D3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6BE5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B15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450 to 499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3057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16,010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6008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F85D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B90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8EE5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A2C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4</w:t>
            </w:r>
          </w:p>
        </w:tc>
      </w:tr>
      <w:tr w:rsidR="00F52B8B" w:rsidRPr="00F52B8B" w14:paraId="3E1D8ED5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E855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AEE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500 to 549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1D07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6,715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5D1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73D4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6D81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9280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31E2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</w:t>
            </w:r>
          </w:p>
        </w:tc>
      </w:tr>
      <w:tr w:rsidR="00F52B8B" w:rsidRPr="00F52B8B" w14:paraId="092E2F00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5228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74A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550 to 599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771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3,997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DB29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83C4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E82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9E19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152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0</w:t>
            </w:r>
          </w:p>
        </w:tc>
      </w:tr>
      <w:tr w:rsidR="00F52B8B" w:rsidRPr="00F52B8B" w14:paraId="1E88C0DE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C9B2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26F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600 to 649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3DF6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4,360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E4B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9B2A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914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908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FAE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0</w:t>
            </w:r>
          </w:p>
        </w:tc>
      </w:tr>
      <w:tr w:rsidR="00F52B8B" w:rsidRPr="00F52B8B" w14:paraId="22267B58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B56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F9F3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650 to 699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DA17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1,369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4CBE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EB32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C4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FCC2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4AFC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1</w:t>
            </w:r>
          </w:p>
        </w:tc>
      </w:tr>
      <w:tr w:rsidR="00F52B8B" w:rsidRPr="00F52B8B" w14:paraId="34B12E58" w14:textId="77777777" w:rsidTr="00F52B8B">
        <w:trPr>
          <w:trHeight w:val="29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3956919F" w14:textId="77777777" w:rsidR="00F52B8B" w:rsidRPr="00F52B8B" w:rsidRDefault="00F52B8B" w:rsidP="00F52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91D5282" w14:textId="77777777" w:rsidR="00F52B8B" w:rsidRPr="00F52B8B" w:rsidRDefault="00F52B8B" w:rsidP="00F52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4F32597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65,59,626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EF5B598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77,837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33447AB6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77,292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5246092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29,948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3F99B3AE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38,552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68EF09B" w14:textId="77777777" w:rsidR="00F52B8B" w:rsidRPr="00F52B8B" w:rsidRDefault="00F52B8B" w:rsidP="00F52B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</w:pPr>
            <w:r w:rsidRPr="00F52B8B">
              <w:rPr>
                <w:rFonts w:ascii="Aptos Narrow" w:eastAsia="Times New Roman" w:hAnsi="Aptos Narrow" w:cs="Times New Roman"/>
                <w:color w:val="000000"/>
                <w:lang w:val="en-IN" w:eastAsia="en-IN"/>
              </w:rPr>
              <w:t>8,792</w:t>
            </w:r>
          </w:p>
        </w:tc>
      </w:tr>
    </w:tbl>
    <w:p w14:paraId="60C56D4F" w14:textId="301FCE68" w:rsidR="008D4B09" w:rsidRDefault="00000000">
      <w:r>
        <w:br/>
      </w:r>
    </w:p>
    <w:p w14:paraId="10FF4C2A" w14:textId="77777777" w:rsidR="008D4B09" w:rsidRDefault="00000000">
      <w:pPr>
        <w:pStyle w:val="Heading2"/>
      </w:pPr>
      <w:r>
        <w:t>Executive Summary</w:t>
      </w:r>
    </w:p>
    <w:p w14:paraId="415B60F7" w14:textId="77777777" w:rsidR="00F52B8B" w:rsidRDefault="00000000">
      <w:r>
        <w:t xml:space="preserve">Across 77,292 booths with alliance coding, overall win shares are: </w:t>
      </w:r>
    </w:p>
    <w:p w14:paraId="4B026C52" w14:textId="77777777" w:rsidR="00F52B8B" w:rsidRDefault="00000000" w:rsidP="00F52B8B">
      <w:pPr>
        <w:pStyle w:val="ListParagraph"/>
        <w:numPr>
          <w:ilvl w:val="0"/>
          <w:numId w:val="10"/>
        </w:numPr>
      </w:pPr>
      <w:r>
        <w:t xml:space="preserve">INDIA 38.7%, </w:t>
      </w:r>
    </w:p>
    <w:p w14:paraId="72494794" w14:textId="77777777" w:rsidR="00F52B8B" w:rsidRDefault="00000000" w:rsidP="00F52B8B">
      <w:pPr>
        <w:pStyle w:val="ListParagraph"/>
        <w:numPr>
          <w:ilvl w:val="0"/>
          <w:numId w:val="10"/>
        </w:numPr>
      </w:pPr>
      <w:r>
        <w:t xml:space="preserve">NDA 49.9%, </w:t>
      </w:r>
    </w:p>
    <w:p w14:paraId="2D19A048" w14:textId="3702677F" w:rsidR="008D4B09" w:rsidRDefault="00000000" w:rsidP="00F52B8B">
      <w:pPr>
        <w:pStyle w:val="ListParagraph"/>
        <w:numPr>
          <w:ilvl w:val="0"/>
          <w:numId w:val="10"/>
        </w:numPr>
      </w:pPr>
      <w:r>
        <w:lastRenderedPageBreak/>
        <w:t>OT 11.4%.</w:t>
      </w:r>
    </w:p>
    <w:p w14:paraId="3614B568" w14:textId="77777777" w:rsidR="00F52B8B" w:rsidRDefault="00F52B8B" w:rsidP="00F52B8B"/>
    <w:p w14:paraId="4B26A666" w14:textId="77777777" w:rsidR="008D4B09" w:rsidRDefault="00000000" w:rsidP="00F52B8B">
      <w:pPr>
        <w:pStyle w:val="ListParagraph"/>
        <w:numPr>
          <w:ilvl w:val="0"/>
          <w:numId w:val="10"/>
        </w:numPr>
      </w:pPr>
      <w:r>
        <w:t>There is a consistent gradient across deletion bins: as deletions-per-booth increase, INDIA’s win share decreases while NDA’s increases.</w:t>
      </w:r>
    </w:p>
    <w:p w14:paraId="466DA9E7" w14:textId="77777777" w:rsidR="00F52B8B" w:rsidRDefault="00F52B8B" w:rsidP="00F52B8B">
      <w:pPr>
        <w:pStyle w:val="ListParagraph"/>
      </w:pPr>
    </w:p>
    <w:p w14:paraId="24CA7265" w14:textId="77777777" w:rsidR="008D4B09" w:rsidRDefault="00000000" w:rsidP="00F52B8B">
      <w:pPr>
        <w:pStyle w:val="ListParagraph"/>
        <w:numPr>
          <w:ilvl w:val="0"/>
          <w:numId w:val="10"/>
        </w:numPr>
      </w:pPr>
      <w:r>
        <w:t>This gradient is visible both at fine-grained bin level (SNO 1–14) and in aggregated buckets (Low 1–99, Mid 100–249, High ≥250).</w:t>
      </w:r>
    </w:p>
    <w:p w14:paraId="25A3FBDA" w14:textId="77777777" w:rsidR="00F52B8B" w:rsidRDefault="00F52B8B" w:rsidP="00F52B8B">
      <w:pPr>
        <w:pStyle w:val="ListParagraph"/>
      </w:pPr>
    </w:p>
    <w:p w14:paraId="71C4CAC6" w14:textId="77777777" w:rsidR="00F52B8B" w:rsidRDefault="00F52B8B" w:rsidP="00F52B8B">
      <w:pPr>
        <w:pStyle w:val="ListParagraph"/>
      </w:pPr>
    </w:p>
    <w:p w14:paraId="05935048" w14:textId="77777777" w:rsidR="008D4B09" w:rsidRDefault="00000000" w:rsidP="00F52B8B">
      <w:pPr>
        <w:pStyle w:val="ListParagraph"/>
        <w:numPr>
          <w:ilvl w:val="0"/>
          <w:numId w:val="10"/>
        </w:numPr>
      </w:pPr>
      <w:r>
        <w:t>Statistical signal: correlation of bin midpoint with INDIA win share = -0.74 (negative), with NDA win share = 0.48 (positive).</w:t>
      </w:r>
    </w:p>
    <w:p w14:paraId="060AF42B" w14:textId="77777777" w:rsidR="00F52B8B" w:rsidRDefault="00F52B8B" w:rsidP="00F52B8B">
      <w:pPr>
        <w:pStyle w:val="ListParagraph"/>
      </w:pPr>
    </w:p>
    <w:p w14:paraId="7F7B877C" w14:textId="77777777" w:rsidR="008D4B09" w:rsidRDefault="00000000" w:rsidP="00F52B8B">
      <w:pPr>
        <w:pStyle w:val="ListParagraph"/>
        <w:numPr>
          <w:ilvl w:val="0"/>
          <w:numId w:val="10"/>
        </w:numPr>
      </w:pPr>
      <w:r>
        <w:t>Operationally, low-deletion booths appear more competitive; mid/high-deletion booths show a widening NDA edge. This can inform prioritization, verification, and outreach strategies.</w:t>
      </w:r>
    </w:p>
    <w:p w14:paraId="28B77009" w14:textId="297A132B" w:rsidR="008D4B09" w:rsidRPr="00F52B8B" w:rsidRDefault="00000000" w:rsidP="00F52B8B">
      <w:pPr>
        <w:rPr>
          <w:b/>
          <w:bCs/>
        </w:rPr>
      </w:pPr>
      <w:r w:rsidRPr="00F52B8B">
        <w:rPr>
          <w:b/>
          <w:bCs/>
        </w:rPr>
        <w:t>Detailed Findings by Bin</w:t>
      </w:r>
    </w:p>
    <w:p w14:paraId="2B3CB4E3" w14:textId="77777777" w:rsidR="00F52B8B" w:rsidRDefault="00000000">
      <w:r>
        <w:t xml:space="preserve">The table at the top lists each deletion bin (SNO), coded booth counts, and alliance win shares. Two patterns are notable: </w:t>
      </w:r>
    </w:p>
    <w:p w14:paraId="7D3957AE" w14:textId="77777777" w:rsidR="00F52B8B" w:rsidRDefault="00000000">
      <w:r>
        <w:t xml:space="preserve">(1) INDIA’s share declines monotonically from low to high deletion </w:t>
      </w:r>
      <w:proofErr w:type="gramStart"/>
      <w:r>
        <w:t>bins;</w:t>
      </w:r>
      <w:proofErr w:type="gramEnd"/>
      <w:r>
        <w:t xml:space="preserve"> </w:t>
      </w:r>
    </w:p>
    <w:p w14:paraId="2051DF24" w14:textId="52F43245" w:rsidR="008D4B09" w:rsidRDefault="00000000">
      <w:r>
        <w:t>(2) NDA’s share increases correspondingly. Extreme bins (≥300 deletions/booth) have fewer booths and should be interpreted with caution.</w:t>
      </w:r>
    </w:p>
    <w:p w14:paraId="7FEA21B2" w14:textId="77777777" w:rsidR="008D4B09" w:rsidRDefault="00000000">
      <w:pPr>
        <w:pStyle w:val="Heading2"/>
      </w:pPr>
      <w:r>
        <w:lastRenderedPageBreak/>
        <w:t>Visuals</w:t>
      </w:r>
    </w:p>
    <w:p w14:paraId="427BF067" w14:textId="1BE5AD84" w:rsidR="008D4B09" w:rsidRDefault="00000000" w:rsidP="00F52B8B">
      <w:r>
        <w:t>Win share by deletion bin (SNO):</w:t>
      </w:r>
      <w:r>
        <w:rPr>
          <w:noProof/>
        </w:rPr>
        <w:drawing>
          <wp:inline distT="0" distB="0" distL="0" distR="0" wp14:anchorId="392D990D" wp14:editId="25555D11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_share_by_b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6601" w14:textId="77777777" w:rsidR="008D4B09" w:rsidRDefault="00000000">
      <w:r>
        <w:t>Booths counted by deletion bin:</w:t>
      </w:r>
    </w:p>
    <w:p w14:paraId="67CFEBE2" w14:textId="77777777" w:rsidR="008D4B09" w:rsidRDefault="00000000">
      <w:pPr>
        <w:jc w:val="center"/>
      </w:pPr>
      <w:r>
        <w:rPr>
          <w:noProof/>
        </w:rPr>
        <w:drawing>
          <wp:inline distT="0" distB="0" distL="0" distR="0" wp14:anchorId="56E02ABE" wp14:editId="70D4A57E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h_counts_by_b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2DCC" w14:textId="77777777" w:rsidR="008D4B09" w:rsidRDefault="00000000">
      <w:pPr>
        <w:pStyle w:val="Heading2"/>
      </w:pPr>
      <w:r>
        <w:t>Aggregated Buckets (Low / Mid / High)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D4B09" w14:paraId="365804E4" w14:textId="77777777">
        <w:tc>
          <w:tcPr>
            <w:tcW w:w="1728" w:type="dxa"/>
          </w:tcPr>
          <w:p w14:paraId="457EA5C7" w14:textId="77777777" w:rsidR="008D4B09" w:rsidRDefault="00000000">
            <w:r>
              <w:t>Bucket</w:t>
            </w:r>
          </w:p>
        </w:tc>
        <w:tc>
          <w:tcPr>
            <w:tcW w:w="1728" w:type="dxa"/>
          </w:tcPr>
          <w:p w14:paraId="26AAA5C0" w14:textId="77777777" w:rsidR="008D4B09" w:rsidRDefault="00000000">
            <w:r>
              <w:t>Booths (Form20)</w:t>
            </w:r>
          </w:p>
        </w:tc>
        <w:tc>
          <w:tcPr>
            <w:tcW w:w="1728" w:type="dxa"/>
          </w:tcPr>
          <w:p w14:paraId="7BA58426" w14:textId="77777777" w:rsidR="008D4B09" w:rsidRDefault="00000000">
            <w:r>
              <w:t>INDIA win %</w:t>
            </w:r>
          </w:p>
        </w:tc>
        <w:tc>
          <w:tcPr>
            <w:tcW w:w="1728" w:type="dxa"/>
          </w:tcPr>
          <w:p w14:paraId="17CB9800" w14:textId="77777777" w:rsidR="008D4B09" w:rsidRDefault="00000000">
            <w:r>
              <w:t>NDA win %</w:t>
            </w:r>
          </w:p>
        </w:tc>
        <w:tc>
          <w:tcPr>
            <w:tcW w:w="1728" w:type="dxa"/>
          </w:tcPr>
          <w:p w14:paraId="7892E494" w14:textId="77777777" w:rsidR="008D4B09" w:rsidRDefault="00000000">
            <w:r>
              <w:t>OT %</w:t>
            </w:r>
          </w:p>
        </w:tc>
      </w:tr>
      <w:tr w:rsidR="008D4B09" w14:paraId="72D28560" w14:textId="77777777">
        <w:tc>
          <w:tcPr>
            <w:tcW w:w="1728" w:type="dxa"/>
          </w:tcPr>
          <w:p w14:paraId="69C073DF" w14:textId="77777777" w:rsidR="008D4B09" w:rsidRDefault="00000000">
            <w:r>
              <w:lastRenderedPageBreak/>
              <w:t>Low (1–99)</w:t>
            </w:r>
          </w:p>
        </w:tc>
        <w:tc>
          <w:tcPr>
            <w:tcW w:w="1728" w:type="dxa"/>
          </w:tcPr>
          <w:p w14:paraId="172A1213" w14:textId="77777777" w:rsidR="008D4B09" w:rsidRDefault="00000000">
            <w:r>
              <w:t>53,265</w:t>
            </w:r>
          </w:p>
        </w:tc>
        <w:tc>
          <w:tcPr>
            <w:tcW w:w="1728" w:type="dxa"/>
          </w:tcPr>
          <w:p w14:paraId="44041122" w14:textId="77777777" w:rsidR="008D4B09" w:rsidRDefault="00000000">
            <w:r>
              <w:t>39.6%</w:t>
            </w:r>
          </w:p>
        </w:tc>
        <w:tc>
          <w:tcPr>
            <w:tcW w:w="1728" w:type="dxa"/>
          </w:tcPr>
          <w:p w14:paraId="6B1221F6" w14:textId="77777777" w:rsidR="008D4B09" w:rsidRDefault="00000000">
            <w:r>
              <w:t>48.7%</w:t>
            </w:r>
          </w:p>
        </w:tc>
        <w:tc>
          <w:tcPr>
            <w:tcW w:w="1728" w:type="dxa"/>
          </w:tcPr>
          <w:p w14:paraId="31ADC7B0" w14:textId="77777777" w:rsidR="008D4B09" w:rsidRDefault="00000000">
            <w:r>
              <w:t>11.7%</w:t>
            </w:r>
          </w:p>
        </w:tc>
      </w:tr>
      <w:tr w:rsidR="008D4B09" w14:paraId="638E5FA7" w14:textId="77777777">
        <w:tc>
          <w:tcPr>
            <w:tcW w:w="1728" w:type="dxa"/>
          </w:tcPr>
          <w:p w14:paraId="115396EF" w14:textId="77777777" w:rsidR="008D4B09" w:rsidRDefault="00000000">
            <w:r>
              <w:t>Mid (100–249)</w:t>
            </w:r>
          </w:p>
        </w:tc>
        <w:tc>
          <w:tcPr>
            <w:tcW w:w="1728" w:type="dxa"/>
          </w:tcPr>
          <w:p w14:paraId="4ED20765" w14:textId="77777777" w:rsidR="008D4B09" w:rsidRDefault="00000000">
            <w:r>
              <w:t>22,714</w:t>
            </w:r>
          </w:p>
        </w:tc>
        <w:tc>
          <w:tcPr>
            <w:tcW w:w="1728" w:type="dxa"/>
          </w:tcPr>
          <w:p w14:paraId="6A728CD9" w14:textId="77777777" w:rsidR="008D4B09" w:rsidRDefault="00000000">
            <w:r>
              <w:t>37.2%</w:t>
            </w:r>
          </w:p>
        </w:tc>
        <w:tc>
          <w:tcPr>
            <w:tcW w:w="1728" w:type="dxa"/>
          </w:tcPr>
          <w:p w14:paraId="479254E5" w14:textId="77777777" w:rsidR="008D4B09" w:rsidRDefault="00000000">
            <w:r>
              <w:t>52.1%</w:t>
            </w:r>
          </w:p>
        </w:tc>
        <w:tc>
          <w:tcPr>
            <w:tcW w:w="1728" w:type="dxa"/>
          </w:tcPr>
          <w:p w14:paraId="53CFBCE4" w14:textId="77777777" w:rsidR="008D4B09" w:rsidRDefault="00000000">
            <w:r>
              <w:t>10.7%</w:t>
            </w:r>
          </w:p>
        </w:tc>
      </w:tr>
      <w:tr w:rsidR="008D4B09" w14:paraId="5B50F7D6" w14:textId="77777777">
        <w:tc>
          <w:tcPr>
            <w:tcW w:w="1728" w:type="dxa"/>
          </w:tcPr>
          <w:p w14:paraId="67F867ED" w14:textId="77777777" w:rsidR="008D4B09" w:rsidRDefault="00000000">
            <w:r>
              <w:t>High (≥250)</w:t>
            </w:r>
          </w:p>
        </w:tc>
        <w:tc>
          <w:tcPr>
            <w:tcW w:w="1728" w:type="dxa"/>
          </w:tcPr>
          <w:p w14:paraId="3FB7DC45" w14:textId="77777777" w:rsidR="008D4B09" w:rsidRDefault="00000000">
            <w:r>
              <w:t>1,313</w:t>
            </w:r>
          </w:p>
        </w:tc>
        <w:tc>
          <w:tcPr>
            <w:tcW w:w="1728" w:type="dxa"/>
          </w:tcPr>
          <w:p w14:paraId="0B8A0F7F" w14:textId="77777777" w:rsidR="008D4B09" w:rsidRDefault="00000000">
            <w:r>
              <w:t>31.8%</w:t>
            </w:r>
          </w:p>
        </w:tc>
        <w:tc>
          <w:tcPr>
            <w:tcW w:w="1728" w:type="dxa"/>
          </w:tcPr>
          <w:p w14:paraId="4A81391A" w14:textId="77777777" w:rsidR="008D4B09" w:rsidRDefault="00000000">
            <w:r>
              <w:t>58.3%</w:t>
            </w:r>
          </w:p>
        </w:tc>
        <w:tc>
          <w:tcPr>
            <w:tcW w:w="1728" w:type="dxa"/>
          </w:tcPr>
          <w:p w14:paraId="5A787C9A" w14:textId="77777777" w:rsidR="008D4B09" w:rsidRDefault="00000000">
            <w:r>
              <w:t>9.9%</w:t>
            </w:r>
          </w:p>
        </w:tc>
      </w:tr>
    </w:tbl>
    <w:p w14:paraId="67A24F88" w14:textId="56BAA948" w:rsidR="008D4B09" w:rsidRDefault="00000000" w:rsidP="00F52B8B">
      <w:r>
        <w:t>Methodology &amp; Quality Checks</w:t>
      </w:r>
    </w:p>
    <w:p w14:paraId="58D1FF41" w14:textId="77777777" w:rsidR="008D4B09" w:rsidRDefault="00000000">
      <w:pPr>
        <w:pStyle w:val="ListBullet"/>
      </w:pPr>
      <w:r>
        <w:t>Unit of analysis: booth-level bins of deletions per booth (SNO 1–14), with winners mapped to alliances using Form20.</w:t>
      </w:r>
    </w:p>
    <w:p w14:paraId="0B3A3B35" w14:textId="77777777" w:rsidR="008D4B09" w:rsidRDefault="00000000">
      <w:pPr>
        <w:pStyle w:val="ListBullet"/>
      </w:pPr>
      <w:r>
        <w:t>Shares computed as alliance-winning booths divided by total Form20-coded booths within each bin; totals exclude uncoded booths.</w:t>
      </w:r>
    </w:p>
    <w:p w14:paraId="53FE0485" w14:textId="77777777" w:rsidR="008D4B09" w:rsidRDefault="00000000">
      <w:pPr>
        <w:pStyle w:val="ListBullet"/>
      </w:pPr>
      <w:r>
        <w:t>Correlation computed between bin midpoints and alliance win shares to summarize trend strength.</w:t>
      </w:r>
    </w:p>
    <w:p w14:paraId="530038DC" w14:textId="77777777" w:rsidR="008D4B09" w:rsidRDefault="00000000">
      <w:pPr>
        <w:pStyle w:val="ListBullet"/>
      </w:pPr>
      <w:r>
        <w:t>Sanity checks: totals reconcile with sheet summary; bins ordered by SNO; negligible missingness within coded set.</w:t>
      </w:r>
    </w:p>
    <w:p w14:paraId="4A9221E5" w14:textId="77777777" w:rsidR="008D4B09" w:rsidRDefault="00000000">
      <w:pPr>
        <w:pStyle w:val="Heading2"/>
      </w:pPr>
      <w:r>
        <w:t>Implications for Field &amp; Messaging</w:t>
      </w:r>
    </w:p>
    <w:p w14:paraId="632B1D17" w14:textId="77777777" w:rsidR="008D4B09" w:rsidRDefault="00000000">
      <w:pPr>
        <w:pStyle w:val="ListBullet"/>
      </w:pPr>
      <w:r>
        <w:t>Prioritize audit and voter assistance in Mid/High deletion bins where NDA edge widens; investigate causes (migration, deletions quality, documentation).</w:t>
      </w:r>
    </w:p>
    <w:p w14:paraId="0807DF77" w14:textId="77777777" w:rsidR="008D4B09" w:rsidRDefault="00000000">
      <w:pPr>
        <w:pStyle w:val="ListBullet"/>
      </w:pPr>
      <w:r>
        <w:t>In Low bins, treat as competitive turf: emphasize booth-level GOTV and micro-messaging; leverage INDIA’s relatively stronger baseline.</w:t>
      </w:r>
    </w:p>
    <w:p w14:paraId="31147F1F" w14:textId="77777777" w:rsidR="008D4B09" w:rsidRDefault="00000000">
      <w:pPr>
        <w:pStyle w:val="ListBullet"/>
      </w:pPr>
      <w:r>
        <w:t>Create a monitoring dashboard by AC/PC overlaying deletion bins with INDIA/NDA performance to target resources efficiently.</w:t>
      </w:r>
    </w:p>
    <w:p w14:paraId="7A5D8626" w14:textId="77777777" w:rsidR="008D4B09" w:rsidRDefault="00000000">
      <w:pPr>
        <w:pStyle w:val="Heading2"/>
      </w:pPr>
      <w:r>
        <w:t>Caveats</w:t>
      </w:r>
    </w:p>
    <w:p w14:paraId="70F0615A" w14:textId="77777777" w:rsidR="008D4B09" w:rsidRDefault="00000000">
      <w:pPr>
        <w:pStyle w:val="ListBullet"/>
      </w:pPr>
      <w:r>
        <w:t>High-deletion bins represent a small slice of total booths; results at extremes may be noisy.</w:t>
      </w:r>
    </w:p>
    <w:p w14:paraId="50D3BC25" w14:textId="77777777" w:rsidR="008D4B09" w:rsidRDefault="00000000">
      <w:pPr>
        <w:pStyle w:val="ListBullet"/>
      </w:pPr>
      <w:r>
        <w:t>Booth ‘win’ is categorical; it does not encode margin or total turnout effects.</w:t>
      </w:r>
    </w:p>
    <w:p w14:paraId="65E5BA6B" w14:textId="77777777" w:rsidR="008D4B09" w:rsidRDefault="00000000">
      <w:pPr>
        <w:pStyle w:val="ListBullet"/>
      </w:pPr>
      <w:r>
        <w:t>No geographic controls are applied here; localized dynamics may differ across districts.</w:t>
      </w:r>
    </w:p>
    <w:sectPr w:rsidR="008D4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F3320C"/>
    <w:multiLevelType w:val="hybridMultilevel"/>
    <w:tmpl w:val="BD449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231388">
    <w:abstractNumId w:val="8"/>
  </w:num>
  <w:num w:numId="2" w16cid:durableId="3172216">
    <w:abstractNumId w:val="6"/>
  </w:num>
  <w:num w:numId="3" w16cid:durableId="1688142859">
    <w:abstractNumId w:val="5"/>
  </w:num>
  <w:num w:numId="4" w16cid:durableId="1589461549">
    <w:abstractNumId w:val="4"/>
  </w:num>
  <w:num w:numId="5" w16cid:durableId="209878096">
    <w:abstractNumId w:val="7"/>
  </w:num>
  <w:num w:numId="6" w16cid:durableId="217085581">
    <w:abstractNumId w:val="3"/>
  </w:num>
  <w:num w:numId="7" w16cid:durableId="1177423388">
    <w:abstractNumId w:val="2"/>
  </w:num>
  <w:num w:numId="8" w16cid:durableId="681397894">
    <w:abstractNumId w:val="1"/>
  </w:num>
  <w:num w:numId="9" w16cid:durableId="715011022">
    <w:abstractNumId w:val="0"/>
  </w:num>
  <w:num w:numId="10" w16cid:durableId="619998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D4B09"/>
    <w:rsid w:val="00981745"/>
    <w:rsid w:val="00AA1D8D"/>
    <w:rsid w:val="00AD0C5C"/>
    <w:rsid w:val="00B47730"/>
    <w:rsid w:val="00CB0664"/>
    <w:rsid w:val="00F52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558EF"/>
  <w14:defaultImageDpi w14:val="300"/>
  <w15:docId w15:val="{42CC1502-3D15-4917-9846-D233407C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Khalid Saifullah</cp:lastModifiedBy>
  <cp:revision>2</cp:revision>
  <dcterms:created xsi:type="dcterms:W3CDTF">2025-09-08T16:34:00Z</dcterms:created>
  <dcterms:modified xsi:type="dcterms:W3CDTF">2025-09-08T16:34:00Z</dcterms:modified>
  <cp:category/>
</cp:coreProperties>
</file>