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color w:val="0369A1"/>
          <w:sz w:val="20"/>
        </w:rPr>
        <w:t>●  SAMPLE — preview only. Not licensed for use. Buy the full editable file at impactmojo.in/products/commissioning-workbook/</w:t>
      </w:r>
    </w:p>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20"/>
        <w:tblGridChange w:id="0">
          <w:tblGrid>
            <w:gridCol w:w="9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52a49" w:val="clear"/>
            <w:tcMar>
              <w:top w:w="360.0" w:type="dxa"/>
              <w:left w:w="240.0" w:type="dxa"/>
              <w:bottom w:w="360.0" w:type="dxa"/>
              <w:right w:w="240.0" w:type="dxa"/>
            </w:tcMar>
          </w:tcPr>
          <w:p w:rsidR="00000000" w:rsidDel="00000000" w:rsidP="00000000" w:rsidRDefault="00000000" w:rsidRPr="00000000" w14:paraId="00000002">
            <w:pPr>
              <w:spacing w:after="160" w:lineRule="auto"/>
              <w:jc w:val="center"/>
              <w:rPr/>
            </w:pPr>
            <w:r w:rsidDel="00000000" w:rsidR="00000000" w:rsidRPr="00000000">
              <w:rPr/>
              <w:drawing>
                <wp:inline distB="0" distT="0" distL="0" distR="0">
                  <wp:extent cx="1866900" cy="1457325"/>
                  <wp:effectExtent b="0" l="0" r="0" t="0"/>
                  <wp:docPr descr="logo" id="1" name="image1.jpg"/>
                  <a:graphic>
                    <a:graphicData uri="http://schemas.openxmlformats.org/drawingml/2006/picture">
                      <pic:pic>
                        <pic:nvPicPr>
                          <pic:cNvPr descr="logo" id="0" name="image1.jpg"/>
                          <pic:cNvPicPr preferRelativeResize="0"/>
                        </pic:nvPicPr>
                        <pic:blipFill>
                          <a:blip r:embed="rId6"/>
                          <a:srcRect b="0" l="0" r="0" t="0"/>
                          <a:stretch>
                            <a:fillRect/>
                          </a:stretch>
                        </pic:blipFill>
                        <pic:spPr>
                          <a:xfrm>
                            <a:off x="0" y="0"/>
                            <a:ext cx="186690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Calibri" w:cs="Calibri" w:eastAsia="Calibri" w:hAnsi="Calibri"/>
                <w:b w:val="1"/>
                <w:bCs w:val="1"/>
                <w:color w:val="ffffff"/>
                <w:sz w:val="40"/>
                <w:szCs w:val="40"/>
                <w:rtl w:val="0"/>
              </w:rPr>
              <w:t xml:space="preserve">Commissioning Research</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Fonts w:ascii="Calibri" w:cs="Calibri" w:eastAsia="Calibri" w:hAnsi="Calibri"/>
                <w:i w:val="1"/>
                <w:iCs w:val="1"/>
                <w:color w:val="0dbeb6"/>
                <w:sz w:val="22"/>
                <w:szCs w:val="22"/>
                <w:rtl w:val="0"/>
              </w:rPr>
              <w:t xml:space="preserve">A workbook for managers who buy evaluation and research: decide what you need, write it down, choose well, and use what comes back</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color w:val="aebdcc"/>
                <w:sz w:val="17"/>
                <w:szCs w:val="17"/>
                <w:rtl w:val="0"/>
              </w:rPr>
              <w:t xml:space="preserve">Workbook · DOCX · ₹499</w:t>
            </w:r>
            <w:r w:rsidDel="00000000" w:rsidR="00000000" w:rsidRPr="00000000">
              <w:rPr>
                <w:rtl w:val="0"/>
              </w:rPr>
            </w:r>
          </w:p>
        </w:tc>
      </w:tr>
    </w:tbl>
    <w:p w:rsidR="00000000" w:rsidDel="00000000" w:rsidP="00000000" w:rsidRDefault="00000000" w:rsidRPr="00000000" w14:paraId="00000006">
      <w:pPr>
        <w:spacing w:after="40" w:before="160" w:lineRule="auto"/>
        <w:jc w:val="center"/>
        <w:rPr/>
      </w:pPr>
      <w:r w:rsidDel="00000000" w:rsidR="00000000" w:rsidRPr="00000000">
        <w:rPr>
          <w:rFonts w:ascii="Calibri" w:cs="Calibri" w:eastAsia="Calibri" w:hAnsi="Calibri"/>
          <w:color w:val="5b6776"/>
          <w:sz w:val="18"/>
          <w:szCs w:val="18"/>
          <w:rtl w:val="0"/>
        </w:rPr>
        <w:t xml:space="preserve">Version 2.0   ·   June 2026   ·   Part of the Evaluation Essentials Kit</w:t>
      </w:r>
      <w:r w:rsidDel="00000000" w:rsidR="00000000" w:rsidRPr="00000000">
        <w:rPr>
          <w:rtl w:val="0"/>
        </w:rPr>
      </w:r>
    </w:p>
    <w:tbl>
      <w:tblPr>
        <w:tblStyle w:val="Table2"/>
        <w:tblW w:w="9020.0" w:type="dxa"/>
        <w:jc w:val="left"/>
        <w:tblBorders>
          <w:top w:color="0c8a89" w:space="0" w:sz="4" w:val="single"/>
          <w:left w:color="0c8a89" w:space="0" w:sz="24" w:val="single"/>
          <w:bottom w:color="0c8a89" w:space="0" w:sz="4" w:val="single"/>
          <w:right w:color="0c8a89" w:space="0" w:sz="4" w:val="single"/>
          <w:insideH w:color="000000" w:space="0" w:sz="4" w:val="single"/>
          <w:insideV w:color="000000" w:space="0" w:sz="4" w:val="single"/>
        </w:tblBorders>
        <w:tblLayout w:type="fixed"/>
        <w:tblLook w:val="0000"/>
      </w:tblPr>
      <w:tblGrid>
        <w:gridCol w:w="9020"/>
        <w:tblGridChange w:id="0">
          <w:tblGrid>
            <w:gridCol w:w="9020"/>
          </w:tblGrid>
        </w:tblGridChange>
      </w:tblGrid>
      <w:tr>
        <w:trPr>
          <w:cantSplit w:val="0"/>
          <w:tblHeader w:val="0"/>
        </w:trPr>
        <w:tc>
          <w:tcPr>
            <w:shd w:fill="eaf6f5" w:val="clear"/>
            <w:tcMar>
              <w:top w:w="100.0" w:type="dxa"/>
              <w:left w:w="160.0" w:type="dxa"/>
              <w:bottom w:w="100.0" w:type="dxa"/>
              <w:right w:w="160.0" w:type="dxa"/>
            </w:tcMar>
          </w:tcPr>
          <w:p w:rsidR="00000000" w:rsidDel="00000000" w:rsidP="00000000" w:rsidRDefault="00000000" w:rsidRPr="00000000" w14:paraId="00000007">
            <w:pPr>
              <w:spacing w:after="40" w:lineRule="auto"/>
              <w:rPr/>
            </w:pPr>
            <w:r w:rsidDel="00000000" w:rsidR="00000000" w:rsidRPr="00000000">
              <w:rPr>
                <w:rFonts w:ascii="Calibri" w:cs="Calibri" w:eastAsia="Calibri" w:hAnsi="Calibri"/>
                <w:b w:val="1"/>
                <w:bCs w:val="1"/>
                <w:color w:val="0c8a89"/>
                <w:sz w:val="17"/>
                <w:szCs w:val="17"/>
                <w:rtl w:val="0"/>
              </w:rPr>
              <w:t xml:space="preserve">HOW TO USE THIS WORKBOOK</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Fonts w:ascii="Calibri" w:cs="Calibri" w:eastAsia="Calibri" w:hAnsi="Calibri"/>
                <w:color w:val="0f172a"/>
                <w:sz w:val="20"/>
                <w:szCs w:val="20"/>
                <w:rtl w:val="0"/>
              </w:rPr>
              <w:t xml:space="preserve">Five modules, each with a short teaching section, a worked example, and an exercise with space to write.</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rFonts w:ascii="Calibri" w:cs="Calibri" w:eastAsia="Calibri" w:hAnsi="Calibri"/>
                <w:color w:val="0f172a"/>
                <w:sz w:val="20"/>
                <w:szCs w:val="20"/>
                <w:rtl w:val="0"/>
              </w:rPr>
              <w:t xml:space="preserve">Work through them in order while planning a real commission; by the end you will have the substance of a terms of reference and a plan to use the findings.</w:t>
            </w:r>
            <w:r w:rsidDel="00000000" w:rsidR="00000000" w:rsidRPr="00000000">
              <w:rPr>
                <w:rtl w:val="0"/>
              </w:rPr>
            </w:r>
          </w:p>
          <w:p w:rsidR="00000000" w:rsidDel="00000000" w:rsidP="00000000" w:rsidRDefault="00000000" w:rsidRPr="00000000" w14:paraId="0000000A">
            <w:pPr>
              <w:spacing w:after="0" w:lineRule="auto"/>
              <w:rPr/>
            </w:pPr>
            <w:r w:rsidDel="00000000" w:rsidR="00000000" w:rsidRPr="00000000">
              <w:rPr>
                <w:rFonts w:ascii="Calibri" w:cs="Calibri" w:eastAsia="Calibri" w:hAnsi="Calibri"/>
                <w:color w:val="0f172a"/>
                <w:sz w:val="20"/>
                <w:szCs w:val="20"/>
                <w:rtl w:val="0"/>
              </w:rPr>
              <w:t xml:space="preserve">Model answers follow the exercises so you can check your thinking. Pair this with the ImpactMojo ToR Commissioning Pack for the document itself.</w:t>
            </w:r>
            <w:r w:rsidDel="00000000" w:rsidR="00000000" w:rsidRPr="00000000">
              <w:rPr>
                <w:rtl w:val="0"/>
              </w:rPr>
            </w:r>
          </w:p>
        </w:tc>
      </w:tr>
    </w:tbl>
    <w:p w:rsidR="00000000" w:rsidDel="00000000" w:rsidP="00000000" w:rsidRDefault="00000000" w:rsidRPr="00000000" w14:paraId="0000000B">
      <w:pPr>
        <w:spacing w:after="120" w:lineRule="auto"/>
        <w:rPr/>
      </w:pPr>
      <w:r w:rsidDel="00000000" w:rsidR="00000000" w:rsidRPr="00000000">
        <w:rPr>
          <w:rFonts w:ascii="Calibri" w:cs="Calibri" w:eastAsia="Calibri" w:hAnsi="Calibri"/>
          <w:color w:val="0f172a"/>
          <w:sz w:val="21"/>
          <w:szCs w:val="21"/>
          <w:rtl w:val="0"/>
        </w:rPr>
        <w:t xml:space="preserve">Commissioning is the art of buying evidence you will actually use. Most disappointing evaluations were lost at the commissioning stage: the question was vague, the design did not fit, or no one had decided what the findings were for. This workbook fixes that upstream.</w:t>
      </w:r>
      <w:r w:rsidDel="00000000" w:rsidR="00000000" w:rsidRPr="00000000">
        <w:rPr>
          <w:rtl w:val="0"/>
        </w:rPr>
      </w:r>
    </w:p>
    <w:p w:rsidR="00000000" w:rsidDel="00000000" w:rsidP="00000000" w:rsidRDefault="00000000" w:rsidRPr="00000000" w14:paraId="0000000C">
      <w:pPr>
        <w:spacing w:after="40" w:before="340" w:lineRule="auto"/>
        <w:rPr/>
      </w:pPr>
      <w:r w:rsidDel="00000000" w:rsidR="00000000" w:rsidRPr="00000000">
        <w:rPr>
          <w:rFonts w:ascii="Calibri" w:cs="Calibri" w:eastAsia="Calibri" w:hAnsi="Calibri"/>
          <w:b w:val="1"/>
          <w:bCs w:val="1"/>
          <w:color w:val="0c8a89"/>
          <w:sz w:val="18"/>
          <w:szCs w:val="18"/>
          <w:rtl w:val="0"/>
        </w:rPr>
        <w:t xml:space="preserve">MODULE 1</w:t>
      </w:r>
      <w:r w:rsidDel="00000000" w:rsidR="00000000" w:rsidRPr="00000000">
        <w:rPr>
          <w:rtl w:val="0"/>
        </w:rPr>
      </w:r>
    </w:p>
    <w:p w:rsidR="00000000" w:rsidDel="00000000" w:rsidP="00000000" w:rsidRDefault="00000000" w:rsidRPr="00000000" w14:paraId="0000000D">
      <w:pPr>
        <w:pBdr>
          <w:bottom w:color="152a49" w:space="5" w:sz="14" w:val="single"/>
        </w:pBdr>
        <w:spacing w:after="120" w:lineRule="auto"/>
        <w:rPr/>
      </w:pPr>
      <w:r w:rsidDel="00000000" w:rsidR="00000000" w:rsidRPr="00000000">
        <w:rPr>
          <w:rFonts w:ascii="Calibri" w:cs="Calibri" w:eastAsia="Calibri" w:hAnsi="Calibri"/>
          <w:b w:val="1"/>
          <w:bCs w:val="1"/>
          <w:color w:val="152a49"/>
          <w:sz w:val="30"/>
          <w:szCs w:val="30"/>
          <w:rtl w:val="0"/>
        </w:rPr>
        <w:t xml:space="preserve">Start from the decision</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Calibri" w:cs="Calibri" w:eastAsia="Calibri" w:hAnsi="Calibri"/>
          <w:color w:val="0f172a"/>
          <w:sz w:val="21"/>
          <w:szCs w:val="21"/>
          <w:rtl w:val="0"/>
        </w:rPr>
        <w:t xml:space="preserve">Before a single method is chosen, name the decision the evidence will inform, who makes it, and when. Evidence with no decision attached becomes a report that is filed and forgotten. The test is simple: if you cannot name the decision, you are not ready to commission.</w:t>
      </w:r>
      <w:r w:rsidDel="00000000" w:rsidR="00000000" w:rsidRPr="00000000">
        <w:rPr>
          <w:rtl w:val="0"/>
        </w:rPr>
      </w:r>
    </w:p>
    <w:p w:rsidR="00000000" w:rsidDel="00000000" w:rsidP="00000000" w:rsidRDefault="00000000" w:rsidRPr="00000000" w14:paraId="0000000F">
      <w:pPr>
        <w:spacing w:after="60" w:before="160" w:lineRule="auto"/>
        <w:rPr/>
      </w:pPr>
      <w:r w:rsidDel="00000000" w:rsidR="00000000" w:rsidRPr="00000000">
        <w:rPr>
          <w:rFonts w:ascii="Calibri" w:cs="Calibri" w:eastAsia="Calibri" w:hAnsi="Calibri"/>
          <w:b w:val="1"/>
          <w:bCs w:val="1"/>
          <w:color w:val="152a49"/>
          <w:sz w:val="22"/>
          <w:szCs w:val="22"/>
          <w:rtl w:val="0"/>
        </w:rPr>
        <w:t xml:space="preserve">Why this comes first</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Calibri" w:cs="Calibri" w:eastAsia="Calibri" w:hAnsi="Calibri"/>
          <w:color w:val="0f172a"/>
          <w:sz w:val="21"/>
          <w:szCs w:val="21"/>
          <w:rtl w:val="0"/>
        </w:rPr>
        <w:t xml:space="preserve">The decision determines everything downstream: the questions worth asking, the rigour required, the timeline, and the budget. A board choosing whether to scale needs different evidence, at a different standard, than a team wanting to improve delivery next quarter.</w:t>
      </w:r>
      <w:r w:rsidDel="00000000" w:rsidR="00000000" w:rsidRPr="00000000">
        <w:rPr>
          <w:rtl w:val="0"/>
        </w:rPr>
      </w:r>
    </w:p>
    <w:tbl>
      <w:tblPr>
        <w:tblStyle w:val="Table3"/>
        <w:tblW w:w="9020.0" w:type="dxa"/>
        <w:jc w:val="left"/>
        <w:tblBorders>
          <w:top w:color="1fae63" w:space="0" w:sz="4" w:val="single"/>
          <w:left w:color="1fae63" w:space="0" w:sz="24" w:val="single"/>
          <w:bottom w:color="1fae63" w:space="0" w:sz="4" w:val="single"/>
          <w:right w:color="1fae63" w:space="0" w:sz="4" w:val="single"/>
          <w:insideH w:color="000000" w:space="0" w:sz="4" w:val="single"/>
          <w:insideV w:color="000000" w:space="0" w:sz="4" w:val="single"/>
        </w:tblBorders>
        <w:tblLayout w:type="fixed"/>
        <w:tblLook w:val="0000"/>
      </w:tblPr>
      <w:tblGrid>
        <w:gridCol w:w="9020"/>
        <w:tblGridChange w:id="0">
          <w:tblGrid>
            <w:gridCol w:w="9020"/>
          </w:tblGrid>
        </w:tblGridChange>
      </w:tblGrid>
      <w:tr>
        <w:trPr>
          <w:cantSplit w:val="0"/>
          <w:tblHeader w:val="0"/>
        </w:trPr>
        <w:tc>
          <w:tcPr>
            <w:shd w:fill="eaf7ef" w:val="clear"/>
            <w:tcMar>
              <w:top w:w="100.0" w:type="dxa"/>
              <w:left w:w="160.0" w:type="dxa"/>
              <w:bottom w:w="100.0" w:type="dxa"/>
              <w:right w:w="160.0" w:type="dxa"/>
            </w:tcMar>
          </w:tcPr>
          <w:p w:rsidR="00000000" w:rsidDel="00000000" w:rsidP="00000000" w:rsidRDefault="00000000" w:rsidRPr="00000000" w14:paraId="00000011">
            <w:pPr>
              <w:spacing w:after="40" w:lineRule="auto"/>
              <w:rPr/>
            </w:pPr>
            <w:r w:rsidDel="00000000" w:rsidR="00000000" w:rsidRPr="00000000">
              <w:rPr>
                <w:rFonts w:ascii="Calibri" w:cs="Calibri" w:eastAsia="Calibri" w:hAnsi="Calibri"/>
                <w:b w:val="1"/>
                <w:bCs w:val="1"/>
                <w:color w:val="14703f"/>
                <w:sz w:val="17"/>
                <w:szCs w:val="17"/>
                <w:rtl w:val="0"/>
              </w:rPr>
              <w:t xml:space="preserve">WORKED EXAMPLE</w:t>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rFonts w:ascii="Calibri" w:cs="Calibri" w:eastAsia="Calibri" w:hAnsi="Calibri"/>
                <w:color w:val="0f172a"/>
                <w:sz w:val="20"/>
                <w:szCs w:val="20"/>
                <w:rtl w:val="0"/>
              </w:rPr>
              <w:t xml:space="preserve">Weak: “We want to evaluate the maternal health programme.”</w:t>
            </w:r>
            <w:r w:rsidDel="00000000" w:rsidR="00000000" w:rsidRPr="00000000">
              <w:rPr>
                <w:rtl w:val="0"/>
              </w:rPr>
            </w:r>
          </w:p>
          <w:p w:rsidR="00000000" w:rsidDel="00000000" w:rsidP="00000000" w:rsidRDefault="00000000" w:rsidRPr="00000000" w14:paraId="00000013">
            <w:pPr>
              <w:spacing w:after="60" w:lineRule="auto"/>
              <w:rPr/>
            </w:pPr>
            <w:r w:rsidDel="00000000" w:rsidR="00000000" w:rsidRPr="00000000">
              <w:rPr>
                <w:rFonts w:ascii="Calibri" w:cs="Calibri" w:eastAsia="Calibri" w:hAnsi="Calibri"/>
                <w:color w:val="0f172a"/>
                <w:sz w:val="20"/>
                <w:szCs w:val="20"/>
                <w:rtl w:val="0"/>
              </w:rPr>
              <w:t xml:space="preserve">Strong: “To inform the board’s March 2027 decision on whether to fund a second phase, we need to know whether the programme improved antenatal-care completion and skilled birth attendance, for whom, and whether the gains can be credibly attributed to it.”</w:t>
            </w: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Fonts w:ascii="Calibri" w:cs="Calibri" w:eastAsia="Calibri" w:hAnsi="Calibri"/>
                <w:color w:val="0f172a"/>
                <w:sz w:val="20"/>
                <w:szCs w:val="20"/>
                <w:rtl w:val="0"/>
              </w:rPr>
              <w:t xml:space="preserve">The strong version names the decision, the decider, the date, the questions, and the standard of evidence implied (attribution).</w:t>
            </w:r>
            <w:r w:rsidDel="00000000" w:rsidR="00000000" w:rsidRPr="00000000">
              <w:rPr>
                <w:rtl w:val="0"/>
              </w:rPr>
            </w:r>
          </w:p>
        </w:tc>
      </w:tr>
    </w:tbl>
    <w:p w:rsidR="00000000" w:rsidDel="00000000" w:rsidP="00000000" w:rsidRDefault="00000000" w:rsidRPr="00000000" w14:paraId="00000015">
      <w:pPr>
        <w:pBdr>
          <w:left w:color="1fae63" w:space="8" w:sz="18" w:val="single"/>
        </w:pBdr>
        <w:spacing w:after="40" w:before="200" w:lineRule="auto"/>
        <w:rPr/>
      </w:pPr>
      <w:r w:rsidDel="00000000" w:rsidR="00000000" w:rsidRPr="00000000">
        <w:rPr>
          <w:rFonts w:ascii="Calibri" w:cs="Calibri" w:eastAsia="Calibri" w:hAnsi="Calibri"/>
          <w:b w:val="1"/>
          <w:bCs w:val="1"/>
          <w:color w:val="14703f"/>
          <w:sz w:val="17"/>
          <w:szCs w:val="17"/>
          <w:rtl w:val="0"/>
        </w:rPr>
        <w:t xml:space="preserve">EXERCISE  </w:t>
      </w:r>
      <w:r w:rsidDel="00000000" w:rsidR="00000000" w:rsidRPr="00000000">
        <w:rPr>
          <w:rFonts w:ascii="Calibri" w:cs="Calibri" w:eastAsia="Calibri" w:hAnsi="Calibri"/>
          <w:b w:val="1"/>
          <w:bCs w:val="1"/>
          <w:color w:val="152a49"/>
          <w:sz w:val="21"/>
          <w:szCs w:val="21"/>
          <w:rtl w:val="0"/>
        </w:rPr>
        <w:t xml:space="preserve">Exercise 1.1</w:t>
      </w:r>
      <w:r w:rsidDel="00000000" w:rsidR="00000000" w:rsidRPr="00000000">
        <w:rPr>
          <w:rtl w:val="0"/>
        </w:rPr>
      </w:r>
    </w:p>
    <w:p w:rsidR="00000000" w:rsidDel="00000000" w:rsidP="00000000" w:rsidRDefault="00000000" w:rsidRPr="00000000" w14:paraId="00000016">
      <w:pPr>
        <w:spacing w:after="80" w:lineRule="auto"/>
        <w:ind w:left="120" w:firstLine="0"/>
        <w:rPr/>
      </w:pPr>
      <w:r w:rsidDel="00000000" w:rsidR="00000000" w:rsidRPr="00000000">
        <w:rPr>
          <w:rFonts w:ascii="Calibri" w:cs="Calibri" w:eastAsia="Calibri" w:hAnsi="Calibri"/>
          <w:color w:val="0f172a"/>
          <w:sz w:val="20"/>
          <w:szCs w:val="20"/>
          <w:rtl w:val="0"/>
        </w:rPr>
        <w:t xml:space="preserve">Write the decision your commission will inform: the decision, who makes it, and the date. Then write the one question they must be able to answer to decide.</w:t>
      </w:r>
      <w:r w:rsidDel="00000000" w:rsidR="00000000" w:rsidRPr="00000000">
        <w:rPr>
          <w:rtl w:val="0"/>
        </w:rPr>
      </w:r>
    </w:p>
    <w:p w:rsidR="00000000" w:rsidDel="00000000" w:rsidP="00000000" w:rsidRDefault="00000000" w:rsidRPr="00000000" w14:paraId="00000017">
      <w:pPr>
        <w:pBdr>
          <w:bottom w:color="c9d2dd" w:space="2" w:sz="6" w:val="single"/>
        </w:pBdr>
        <w:spacing w:after="150" w:lineRule="auto"/>
        <w:ind w:left="120" w:firstLine="0"/>
        <w:rPr/>
      </w:pPr>
      <w:r w:rsidDel="00000000" w:rsidR="00000000" w:rsidRPr="00000000">
        <w:rPr>
          <w:rtl w:val="0"/>
        </w:rPr>
      </w:r>
    </w:p>
    <w:p w:rsidR="00000000" w:rsidDel="00000000" w:rsidP="00000000" w:rsidRDefault="00000000" w:rsidRPr="00000000" w14:paraId="00000018">
      <w:pPr>
        <w:pBdr>
          <w:bottom w:color="c9d2dd" w:space="2" w:sz="6" w:val="single"/>
        </w:pBdr>
        <w:spacing w:after="150" w:lineRule="auto"/>
        <w:ind w:left="120" w:firstLine="0"/>
        <w:rPr/>
      </w:pPr>
      <w:r w:rsidDel="00000000" w:rsidR="00000000" w:rsidRPr="00000000">
        <w:rPr>
          <w:rtl w:val="0"/>
        </w:rPr>
      </w:r>
    </w:p>
    <w:p w:rsidR="00000000" w:rsidDel="00000000" w:rsidP="00000000" w:rsidRDefault="00000000" w:rsidRPr="00000000" w14:paraId="00000019">
      <w:pPr>
        <w:pBdr>
          <w:bottom w:color="c9d2dd" w:space="2" w:sz="6" w:val="single"/>
        </w:pBdr>
        <w:spacing w:after="150" w:lineRule="auto"/>
        <w:ind w:left="120" w:firstLine="0"/>
        <w:rPr/>
      </w:pPr>
      <w:r w:rsidDel="00000000" w:rsidR="00000000" w:rsidRPr="00000000">
        <w:rPr>
          <w:rtl w:val="0"/>
        </w:rPr>
      </w:r>
    </w:p>
    <w:p w:rsidR="00000000" w:rsidDel="00000000" w:rsidP="00000000" w:rsidRDefault="00000000" w:rsidRPr="00000000" w14:paraId="0000001A">
      <w:pPr>
        <w:pBdr>
          <w:bottom w:color="c9d2dd" w:space="2" w:sz="6" w:val="single"/>
        </w:pBdr>
        <w:spacing w:after="150" w:lineRule="auto"/>
        <w:ind w:left="120" w:firstLine="0"/>
        <w:rPr/>
      </w:pPr>
      <w:r w:rsidDel="00000000" w:rsidR="00000000" w:rsidRPr="00000000">
        <w:rPr>
          <w:rtl w:val="0"/>
        </w:rPr>
      </w:r>
    </w:p>
    <w:tbl>
      <w:tblPr>
        <w:tblStyle w:val="Table4"/>
        <w:tblW w:w="9020.0" w:type="dxa"/>
        <w:jc w:val="left"/>
        <w:tblBorders>
          <w:top w:color="1fae63" w:space="0" w:sz="4" w:val="single"/>
          <w:left w:color="1fae63" w:space="0" w:sz="24" w:val="single"/>
          <w:bottom w:color="1fae63" w:space="0" w:sz="4" w:val="single"/>
          <w:right w:color="1fae63" w:space="0" w:sz="4" w:val="single"/>
          <w:insideH w:color="000000" w:space="0" w:sz="4" w:val="single"/>
          <w:insideV w:color="000000" w:space="0" w:sz="4" w:val="single"/>
        </w:tblBorders>
        <w:tblLayout w:type="fixed"/>
        <w:tblLook w:val="0000"/>
      </w:tblPr>
      <w:tblGrid>
        <w:gridCol w:w="9020"/>
        <w:tblGridChange w:id="0">
          <w:tblGrid>
            <w:gridCol w:w="9020"/>
          </w:tblGrid>
        </w:tblGridChange>
      </w:tblGrid>
      <w:tr>
        <w:trPr>
          <w:cantSplit w:val="0"/>
          <w:tblHeader w:val="0"/>
        </w:trPr>
        <w:tc>
          <w:tcPr>
            <w:shd w:fill="eaf7ef" w:val="clear"/>
            <w:tcMar>
              <w:top w:w="100.0" w:type="dxa"/>
              <w:left w:w="160.0" w:type="dxa"/>
              <w:bottom w:w="100.0" w:type="dxa"/>
              <w:right w:w="160.0" w:type="dxa"/>
            </w:tcMar>
          </w:tcPr>
          <w:p w:rsidR="00000000" w:rsidDel="00000000" w:rsidP="00000000" w:rsidRDefault="00000000" w:rsidRPr="00000000" w14:paraId="0000001B">
            <w:pPr>
              <w:spacing w:after="40" w:lineRule="auto"/>
              <w:rPr/>
            </w:pPr>
            <w:r w:rsidDel="00000000" w:rsidR="00000000" w:rsidRPr="00000000">
              <w:rPr>
                <w:rFonts w:ascii="Calibri" w:cs="Calibri" w:eastAsia="Calibri" w:hAnsi="Calibri"/>
                <w:b w:val="1"/>
                <w:bCs w:val="1"/>
                <w:color w:val="14703f"/>
                <w:sz w:val="17"/>
                <w:szCs w:val="17"/>
                <w:rtl w:val="0"/>
              </w:rPr>
              <w:t xml:space="preserve">MODEL ANSWER</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rFonts w:ascii="Calibri" w:cs="Calibri" w:eastAsia="Calibri" w:hAnsi="Calibri"/>
                <w:color w:val="0f172a"/>
                <w:sz w:val="20"/>
                <w:szCs w:val="20"/>
                <w:rtl w:val="0"/>
              </w:rPr>
              <w:t xml:space="preserve">Decision: whether to extend the livelihoods programme to two new blocks. Decider: the country director and funder, jointly. Date: the next strategy review, October 2026.</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Fonts w:ascii="Calibri" w:cs="Calibri" w:eastAsia="Calibri" w:hAnsi="Calibri"/>
                <w:color w:val="0f172a"/>
                <w:sz w:val="20"/>
                <w:szCs w:val="20"/>
                <w:rtl w:val="0"/>
              </w:rPr>
              <w:t xml:space="preserve">Question they must answer: did household income rise for the poorest participants, and at a cost per household that a scaled programme could sustain?</w:t>
            </w:r>
            <w:r w:rsidDel="00000000" w:rsidR="00000000" w:rsidRPr="00000000">
              <w:rPr>
                <w:rtl w:val="0"/>
              </w:rPr>
            </w:r>
          </w:p>
        </w:tc>
      </w:tr>
    </w:tbl>
    <w:p w:rsidR="00000000" w:rsidDel="00000000" w:rsidP="00000000" w:rsidRDefault="00000000" w:rsidRPr="00000000" w14:paraId="0000001E">
      <w:pPr>
        <w:spacing w:after="40" w:before="340" w:lineRule="auto"/>
        <w:rPr/>
      </w:pPr>
      <w:r w:rsidDel="00000000" w:rsidR="00000000" w:rsidRPr="00000000">
        <w:rPr>
          <w:rFonts w:ascii="Calibri" w:cs="Calibri" w:eastAsia="Calibri" w:hAnsi="Calibri"/>
          <w:b w:val="1"/>
          <w:bCs w:val="1"/>
          <w:color w:val="0c8a89"/>
          <w:sz w:val="18"/>
          <w:szCs w:val="18"/>
          <w:rtl w:val="0"/>
        </w:rPr>
        <w:t xml:space="preserve">MODULE 2</w:t>
      </w:r>
      <w:r w:rsidDel="00000000" w:rsidR="00000000" w:rsidRPr="00000000">
        <w:rPr>
          <w:rtl w:val="0"/>
        </w:rPr>
      </w:r>
    </w:p>
    <w:p w:rsidR="00000000" w:rsidDel="00000000" w:rsidP="00000000" w:rsidRDefault="00000000" w:rsidRPr="00000000" w14:paraId="0000001F">
      <w:pPr>
        <w:pBdr>
          <w:bottom w:color="152a49" w:space="5" w:sz="14" w:val="single"/>
        </w:pBdr>
        <w:spacing w:after="120" w:lineRule="auto"/>
        <w:rPr/>
      </w:pPr>
      <w:r w:rsidDel="00000000" w:rsidR="00000000" w:rsidRPr="00000000">
        <w:rPr>
          <w:rFonts w:ascii="Calibri" w:cs="Calibri" w:eastAsia="Calibri" w:hAnsi="Calibri"/>
          <w:b w:val="1"/>
          <w:bCs w:val="1"/>
          <w:color w:val="152a49"/>
          <w:sz w:val="30"/>
          <w:szCs w:val="30"/>
          <w:rtl w:val="0"/>
        </w:rPr>
        <w:t xml:space="preserve">Frame few, answerable questions</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Calibri" w:cs="Calibri" w:eastAsia="Calibri" w:hAnsi="Calibri"/>
          <w:color w:val="0f172a"/>
          <w:sz w:val="21"/>
          <w:szCs w:val="21"/>
          <w:rtl w:val="0"/>
        </w:rPr>
        <w:t xml:space="preserve">A good commission asks a small number of questions, each of which names the population and the change, and each of which feasible data could answer. Long question lists produce shallow answers to all of them. For every question, you should be able to say what data would answer it; if you cannot, cut it or fund the data to make it answerable.</w:t>
      </w:r>
      <w:r w:rsidDel="00000000" w:rsidR="00000000" w:rsidRPr="00000000">
        <w:rPr>
          <w:rtl w:val="0"/>
        </w:rPr>
      </w:r>
    </w:p>
    <w:p w:rsidR="00000000" w:rsidDel="00000000" w:rsidP="00000000" w:rsidRDefault="00000000" w:rsidRPr="00000000" w14:paraId="00000021">
      <w:pPr>
        <w:spacing w:after="60" w:before="160" w:lineRule="auto"/>
        <w:rPr/>
      </w:pPr>
      <w:r w:rsidDel="00000000" w:rsidR="00000000" w:rsidRPr="00000000">
        <w:rPr>
          <w:rFonts w:ascii="Calibri" w:cs="Calibri" w:eastAsia="Calibri" w:hAnsi="Calibri"/>
          <w:b w:val="1"/>
          <w:bCs w:val="1"/>
          <w:color w:val="152a49"/>
          <w:sz w:val="22"/>
          <w:szCs w:val="22"/>
          <w:rtl w:val="0"/>
        </w:rPr>
        <w:t xml:space="preserve">Grouping by criteria</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Calibri" w:cs="Calibri" w:eastAsia="Calibri" w:hAnsi="Calibri"/>
          <w:color w:val="0f172a"/>
          <w:sz w:val="21"/>
          <w:szCs w:val="21"/>
          <w:rtl w:val="0"/>
        </w:rPr>
        <w:t xml:space="preserve">Organising questions under the OECD-DAC criteria (relevance, coherence, effectiveness, efficiency, impact, sustainability) helps you cover the ground without sprawling. Choose the criteria that matter for the decision and weight them; a pilot leans on relevance and effectiveness, a maturing programme on sustainability and impact.</w:t>
      </w:r>
      <w:r w:rsidDel="00000000" w:rsidR="00000000" w:rsidRPr="00000000">
        <w:rPr>
          <w:rtl w:val="0"/>
        </w:rPr>
      </w:r>
    </w:p>
    <w:tbl>
      <w:tblPr>
        <w:tblStyle w:val="Table5"/>
        <w:tblW w:w="9020.0" w:type="dxa"/>
        <w:jc w:val="left"/>
        <w:tblBorders>
          <w:top w:color="1fae63" w:space="0" w:sz="4" w:val="single"/>
          <w:left w:color="1fae63" w:space="0" w:sz="24" w:val="single"/>
          <w:bottom w:color="1fae63" w:space="0" w:sz="4" w:val="single"/>
          <w:right w:color="1fae63" w:space="0" w:sz="4" w:val="single"/>
          <w:insideH w:color="000000" w:space="0" w:sz="4" w:val="single"/>
          <w:insideV w:color="000000" w:space="0" w:sz="4" w:val="single"/>
        </w:tblBorders>
        <w:tblLayout w:type="fixed"/>
        <w:tblLook w:val="0000"/>
      </w:tblPr>
      <w:tblGrid>
        <w:gridCol w:w="9020"/>
        <w:tblGridChange w:id="0">
          <w:tblGrid>
            <w:gridCol w:w="9020"/>
          </w:tblGrid>
        </w:tblGridChange>
      </w:tblGrid>
      <w:tr>
        <w:trPr>
          <w:cantSplit w:val="0"/>
          <w:tblHeader w:val="0"/>
        </w:trPr>
        <w:tc>
          <w:tcPr>
            <w:shd w:fill="eaf7ef" w:val="clear"/>
            <w:tcMar>
              <w:top w:w="100.0" w:type="dxa"/>
              <w:left w:w="160.0" w:type="dxa"/>
              <w:bottom w:w="100.0" w:type="dxa"/>
              <w:right w:w="160.0" w:type="dxa"/>
            </w:tcMar>
          </w:tcPr>
          <w:p w:rsidR="00000000" w:rsidDel="00000000" w:rsidP="00000000" w:rsidRDefault="00000000" w:rsidRPr="00000000" w14:paraId="00000023">
            <w:pPr>
              <w:spacing w:after="40" w:lineRule="auto"/>
              <w:rPr/>
            </w:pPr>
            <w:r w:rsidDel="00000000" w:rsidR="00000000" w:rsidRPr="00000000">
              <w:rPr>
                <w:rFonts w:ascii="Calibri" w:cs="Calibri" w:eastAsia="Calibri" w:hAnsi="Calibri"/>
                <w:b w:val="1"/>
                <w:bCs w:val="1"/>
                <w:color w:val="14703f"/>
                <w:sz w:val="17"/>
                <w:szCs w:val="17"/>
                <w:rtl w:val="0"/>
              </w:rPr>
              <w:t xml:space="preserve">WORKED EXAMPLE: TURNING A VAGUE ASK INTO QUESTIONS</w:t>
            </w:r>
            <w:r w:rsidDel="00000000" w:rsidR="00000000" w:rsidRPr="00000000">
              <w:rPr>
                <w:rtl w:val="0"/>
              </w:rPr>
            </w:r>
          </w:p>
          <w:p w:rsidR="00000000" w:rsidDel="00000000" w:rsidP="00000000" w:rsidRDefault="00000000" w:rsidRPr="00000000" w14:paraId="00000024">
            <w:pPr>
              <w:spacing w:after="60" w:lineRule="auto"/>
              <w:rPr/>
            </w:pPr>
            <w:r w:rsidDel="00000000" w:rsidR="00000000" w:rsidRPr="00000000">
              <w:rPr>
                <w:rFonts w:ascii="Calibri" w:cs="Calibri" w:eastAsia="Calibri" w:hAnsi="Calibri"/>
                <w:color w:val="0f172a"/>
                <w:sz w:val="20"/>
                <w:szCs w:val="20"/>
                <w:rtl w:val="0"/>
              </w:rPr>
              <w:t xml:space="preserve">Vague: “How is the programme doing?”</w:t>
            </w:r>
            <w:r w:rsidDel="00000000" w:rsidR="00000000" w:rsidRPr="00000000">
              <w:rPr>
                <w:rtl w:val="0"/>
              </w:rPr>
            </w:r>
          </w:p>
          <w:p w:rsidR="00000000" w:rsidDel="00000000" w:rsidP="00000000" w:rsidRDefault="00000000" w:rsidRPr="00000000" w14:paraId="00000025">
            <w:pPr>
              <w:spacing w:after="60" w:lineRule="auto"/>
              <w:rPr/>
            </w:pPr>
            <w:r w:rsidDel="00000000" w:rsidR="00000000" w:rsidRPr="00000000">
              <w:rPr>
                <w:rFonts w:ascii="Calibri" w:cs="Calibri" w:eastAsia="Calibri" w:hAnsi="Calibri"/>
                <w:color w:val="0f172a"/>
                <w:sz w:val="20"/>
                <w:szCs w:val="20"/>
                <w:rtl w:val="0"/>
              </w:rPr>
              <w:t xml:space="preserve">Effectiveness: To what extent did 4+ antenatal visits rise, and did gains hold across scheduled-caste and poorest-quintile women?</w:t>
            </w:r>
            <w:r w:rsidDel="00000000" w:rsidR="00000000" w:rsidRPr="00000000">
              <w:rPr>
                <w:rtl w:val="0"/>
              </w:rPr>
            </w:r>
          </w:p>
          <w:p w:rsidR="00000000" w:rsidDel="00000000" w:rsidP="00000000" w:rsidRDefault="00000000" w:rsidRPr="00000000" w14:paraId="00000026">
            <w:pPr>
              <w:spacing w:after="60" w:lineRule="auto"/>
              <w:rPr/>
            </w:pPr>
            <w:r w:rsidDel="00000000" w:rsidR="00000000" w:rsidRPr="00000000">
              <w:rPr>
                <w:rFonts w:ascii="Calibri" w:cs="Calibri" w:eastAsia="Calibri" w:hAnsi="Calibri"/>
                <w:color w:val="0f172a"/>
                <w:sz w:val="20"/>
                <w:szCs w:val="20"/>
                <w:rtl w:val="0"/>
              </w:rPr>
              <w:t xml:space="preserve">Efficiency: What did each additional completed-care case cost, against benchmarks?</w:t>
            </w: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rFonts w:ascii="Calibri" w:cs="Calibri" w:eastAsia="Calibri" w:hAnsi="Calibri"/>
                <w:color w:val="0f172a"/>
                <w:sz w:val="20"/>
                <w:szCs w:val="20"/>
                <w:rtl w:val="0"/>
              </w:rPr>
              <w:t xml:space="preserve">Sustainability: Will the state budget carry the ASHA incentives after the grant ends?</w:t>
            </w:r>
            <w:r w:rsidDel="00000000" w:rsidR="00000000" w:rsidRPr="00000000">
              <w:rPr>
                <w:rtl w:val="0"/>
              </w:rPr>
            </w:r>
          </w:p>
        </w:tc>
      </w:tr>
    </w:tbl>
    <w:p w:rsidR="00000000" w:rsidDel="00000000" w:rsidP="00000000" w:rsidRDefault="00000000" w:rsidRPr="00000000" w14:paraId="00000028">
      <w:pPr>
        <w:pBdr>
          <w:left w:color="1fae63" w:space="8" w:sz="18" w:val="single"/>
        </w:pBdr>
        <w:spacing w:after="40" w:before="200" w:lineRule="auto"/>
        <w:rPr/>
      </w:pPr>
      <w:r w:rsidDel="00000000" w:rsidR="00000000" w:rsidRPr="00000000">
        <w:rPr>
          <w:rFonts w:ascii="Calibri" w:cs="Calibri" w:eastAsia="Calibri" w:hAnsi="Calibri"/>
          <w:b w:val="1"/>
          <w:bCs w:val="1"/>
          <w:color w:val="14703f"/>
          <w:sz w:val="17"/>
          <w:szCs w:val="17"/>
          <w:rtl w:val="0"/>
        </w:rPr>
        <w:t xml:space="preserve">EXERCISE  </w:t>
      </w:r>
      <w:r w:rsidDel="00000000" w:rsidR="00000000" w:rsidRPr="00000000">
        <w:rPr>
          <w:rFonts w:ascii="Calibri" w:cs="Calibri" w:eastAsia="Calibri" w:hAnsi="Calibri"/>
          <w:b w:val="1"/>
          <w:bCs w:val="1"/>
          <w:color w:val="152a49"/>
          <w:sz w:val="21"/>
          <w:szCs w:val="21"/>
          <w:rtl w:val="0"/>
        </w:rPr>
        <w:t xml:space="preserve">Exercise 2.1</w:t>
      </w:r>
      <w:r w:rsidDel="00000000" w:rsidR="00000000" w:rsidRPr="00000000">
        <w:rPr>
          <w:rtl w:val="0"/>
        </w:rPr>
      </w:r>
    </w:p>
    <w:p w:rsidR="00000000" w:rsidDel="00000000" w:rsidP="00000000" w:rsidRDefault="00000000" w:rsidRPr="00000000" w14:paraId="00000029">
      <w:pPr>
        <w:spacing w:after="80" w:lineRule="auto"/>
        <w:ind w:left="120" w:firstLine="0"/>
        <w:rPr/>
      </w:pPr>
      <w:r w:rsidDel="00000000" w:rsidR="00000000" w:rsidRPr="00000000">
        <w:rPr>
          <w:rFonts w:ascii="Calibri" w:cs="Calibri" w:eastAsia="Calibri" w:hAnsi="Calibri"/>
          <w:color w:val="0f172a"/>
          <w:sz w:val="20"/>
          <w:szCs w:val="20"/>
          <w:rtl w:val="0"/>
        </w:rPr>
        <w:t xml:space="preserve">Write three evaluation questions for your commission, each tagged with a DAC criterion. For each, name the data that would answer it.</w:t>
      </w:r>
      <w:r w:rsidDel="00000000" w:rsidR="00000000" w:rsidRPr="00000000">
        <w:rPr>
          <w:rtl w:val="0"/>
        </w:rPr>
      </w:r>
    </w:p>
    <w:p w:rsidR="00000000" w:rsidDel="00000000" w:rsidP="00000000" w:rsidRDefault="00000000" w:rsidRPr="00000000" w14:paraId="0000002A">
      <w:pPr>
        <w:pBdr>
          <w:bottom w:color="c9d2dd" w:space="2" w:sz="6" w:val="single"/>
        </w:pBdr>
        <w:spacing w:after="150" w:lineRule="auto"/>
        <w:ind w:left="120" w:firstLine="0"/>
        <w:rPr/>
      </w:pPr>
      <w:r w:rsidDel="00000000" w:rsidR="00000000" w:rsidRPr="00000000">
        <w:rPr>
          <w:rtl w:val="0"/>
        </w:rPr>
      </w:r>
    </w:p>
    <w:p w:rsidR="00000000" w:rsidDel="00000000" w:rsidP="00000000" w:rsidRDefault="00000000" w:rsidRPr="00000000" w14:paraId="0000002B">
      <w:pPr>
        <w:pBdr>
          <w:bottom w:color="c9d2dd" w:space="2" w:sz="6" w:val="single"/>
        </w:pBdr>
        <w:spacing w:after="150" w:lineRule="auto"/>
        <w:ind w:left="120" w:firstLine="0"/>
        <w:rPr/>
      </w:pPr>
      <w:r w:rsidDel="00000000" w:rsidR="00000000" w:rsidRPr="00000000">
        <w:rPr>
          <w:rtl w:val="0"/>
        </w:rPr>
      </w:r>
    </w:p>
    <w:p w:rsidR="00000000" w:rsidDel="00000000" w:rsidP="00000000" w:rsidRDefault="00000000" w:rsidRPr="00000000" w14:paraId="0000002C">
      <w:pPr>
        <w:pBdr>
          <w:bottom w:color="c9d2dd" w:space="2" w:sz="6" w:val="single"/>
        </w:pBdr>
        <w:spacing w:after="150" w:lineRule="auto"/>
        <w:ind w:left="120" w:firstLine="0"/>
        <w:rPr/>
      </w:pPr>
      <w:r w:rsidDel="00000000" w:rsidR="00000000" w:rsidRPr="00000000">
        <w:rPr>
          <w:rtl w:val="0"/>
        </w:rPr>
      </w:r>
    </w:p>
    <w:p w:rsidR="00000000" w:rsidDel="00000000" w:rsidP="00000000" w:rsidRDefault="00000000" w:rsidRPr="00000000" w14:paraId="0000002D">
      <w:pPr>
        <w:pBdr>
          <w:bottom w:color="c9d2dd" w:space="2" w:sz="6" w:val="single"/>
        </w:pBdr>
        <w:spacing w:after="150" w:lineRule="auto"/>
        <w:ind w:left="120" w:firstLine="0"/>
        <w:rPr/>
      </w:pPr>
      <w:r w:rsidDel="00000000" w:rsidR="00000000" w:rsidRPr="00000000">
        <w:rPr>
          <w:rtl w:val="0"/>
        </w:rPr>
      </w:r>
    </w:p>
    <w:p w:rsidR="00000000" w:rsidDel="00000000" w:rsidP="00000000" w:rsidRDefault="00000000" w:rsidRPr="00000000" w14:paraId="0000002E">
      <w:pPr>
        <w:pBdr>
          <w:bottom w:color="c9d2dd" w:space="2" w:sz="6" w:val="single"/>
        </w:pBdr>
        <w:spacing w:after="150" w:lineRule="auto"/>
        <w:ind w:left="120" w:firstLine="0"/>
        <w:rPr/>
      </w:pPr>
      <w:r w:rsidDel="00000000" w:rsidR="00000000" w:rsidRPr="00000000">
        <w:rPr>
          <w:rtl w:val="0"/>
        </w:rPr>
      </w:r>
    </w:p>
    <w:p w:rsidR="00000000" w:rsidDel="00000000" w:rsidP="00000000" w:rsidRDefault="00000000" w:rsidRPr="00000000" w14:paraId="0000002F">
      <w:pPr>
        <w:pBdr>
          <w:bottom w:color="c9d2dd" w:space="2" w:sz="6" w:val="single"/>
        </w:pBdr>
        <w:spacing w:after="150" w:lineRule="auto"/>
        <w:ind w:left="120" w:firstLine="0"/>
        <w:rPr/>
      </w:pPr>
      <w:r w:rsidDel="00000000" w:rsidR="00000000" w:rsidRPr="00000000">
        <w:rPr>
          <w:rtl w:val="0"/>
        </w:rPr>
      </w:r>
    </w:p>
    <w:tbl>
      <w:tblPr>
        <w:tblStyle w:val="Table6"/>
        <w:tblW w:w="9020.0" w:type="dxa"/>
        <w:jc w:val="left"/>
        <w:tblBorders>
          <w:top w:color="1fae63" w:space="0" w:sz="4" w:val="single"/>
          <w:left w:color="1fae63" w:space="0" w:sz="24" w:val="single"/>
          <w:bottom w:color="1fae63" w:space="0" w:sz="4" w:val="single"/>
          <w:right w:color="1fae63" w:space="0" w:sz="4" w:val="single"/>
          <w:insideH w:color="000000" w:space="0" w:sz="4" w:val="single"/>
          <w:insideV w:color="000000" w:space="0" w:sz="4" w:val="single"/>
        </w:tblBorders>
        <w:tblLayout w:type="fixed"/>
        <w:tblLook w:val="0000"/>
      </w:tblPr>
      <w:tblGrid>
        <w:gridCol w:w="9020"/>
        <w:tblGridChange w:id="0">
          <w:tblGrid>
            <w:gridCol w:w="9020"/>
          </w:tblGrid>
        </w:tblGridChange>
      </w:tblGrid>
      <w:tr>
        <w:trPr>
          <w:cantSplit w:val="0"/>
          <w:tblHeader w:val="0"/>
        </w:trPr>
        <w:tc>
          <w:tcPr>
            <w:shd w:fill="eaf7ef" w:val="clear"/>
            <w:tcMar>
              <w:top w:w="100.0" w:type="dxa"/>
              <w:left w:w="160.0" w:type="dxa"/>
              <w:bottom w:w="100.0" w:type="dxa"/>
              <w:right w:w="160.0" w:type="dxa"/>
            </w:tcMar>
          </w:tcPr>
          <w:p w:rsidR="00000000" w:rsidDel="00000000" w:rsidP="00000000" w:rsidRDefault="00000000" w:rsidRPr="00000000" w14:paraId="00000030">
            <w:pPr>
              <w:spacing w:after="40" w:lineRule="auto"/>
              <w:rPr/>
            </w:pPr>
            <w:r w:rsidDel="00000000" w:rsidR="00000000" w:rsidRPr="00000000">
              <w:rPr>
                <w:rFonts w:ascii="Calibri" w:cs="Calibri" w:eastAsia="Calibri" w:hAnsi="Calibri"/>
                <w:b w:val="1"/>
                <w:bCs w:val="1"/>
                <w:color w:val="14703f"/>
                <w:sz w:val="17"/>
                <w:szCs w:val="17"/>
                <w:rtl w:val="0"/>
              </w:rPr>
              <w:t xml:space="preserve">MODEL ANSWER</w:t>
            </w:r>
            <w:r w:rsidDel="00000000" w:rsidR="00000000" w:rsidRPr="00000000">
              <w:rPr>
                <w:rtl w:val="0"/>
              </w:rPr>
            </w:r>
          </w:p>
          <w:p w:rsidR="00000000" w:rsidDel="00000000" w:rsidP="00000000" w:rsidRDefault="00000000" w:rsidRPr="00000000" w14:paraId="00000031">
            <w:pPr>
              <w:spacing w:after="60" w:lineRule="auto"/>
              <w:rPr/>
            </w:pPr>
            <w:r w:rsidDel="00000000" w:rsidR="00000000" w:rsidRPr="00000000">
              <w:rPr>
                <w:rFonts w:ascii="Calibri" w:cs="Calibri" w:eastAsia="Calibri" w:hAnsi="Calibri"/>
                <w:color w:val="0f172a"/>
                <w:sz w:val="20"/>
                <w:szCs w:val="20"/>
                <w:rtl w:val="0"/>
              </w:rPr>
              <w:t xml:space="preserve">Effectiveness: Did women’s monthly earnings rise after the programme, and for which groups? Data: panel of participant earnings, baseline and endline.</w:t>
            </w:r>
            <w:r w:rsidDel="00000000" w:rsidR="00000000" w:rsidRPr="00000000">
              <w:rPr>
                <w:rtl w:val="0"/>
              </w:rPr>
            </w:r>
          </w:p>
          <w:p w:rsidR="00000000" w:rsidDel="00000000" w:rsidP="00000000" w:rsidRDefault="00000000" w:rsidRPr="00000000" w14:paraId="00000032">
            <w:pPr>
              <w:spacing w:after="60" w:lineRule="auto"/>
              <w:rPr/>
            </w:pPr>
            <w:r w:rsidDel="00000000" w:rsidR="00000000" w:rsidRPr="00000000">
              <w:rPr>
                <w:rFonts w:ascii="Calibri" w:cs="Calibri" w:eastAsia="Calibri" w:hAnsi="Calibri"/>
                <w:color w:val="0f172a"/>
                <w:sz w:val="20"/>
                <w:szCs w:val="20"/>
                <w:rtl w:val="0"/>
              </w:rPr>
              <w:t xml:space="preserve">Impact: How much of the earnings change is attributable to the programme rather than the wider economy? Data: a matched comparison group.</w:t>
            </w: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Fonts w:ascii="Calibri" w:cs="Calibri" w:eastAsia="Calibri" w:hAnsi="Calibri"/>
                <w:color w:val="0f172a"/>
                <w:sz w:val="20"/>
                <w:szCs w:val="20"/>
                <w:rtl w:val="0"/>
              </w:rPr>
              <w:t xml:space="preserve">Sustainability: Are the producer groups still functioning a year after support? Data: follow-up survey and group records.</w:t>
            </w:r>
            <w:r w:rsidDel="00000000" w:rsidR="00000000" w:rsidRPr="00000000">
              <w:rPr>
                <w:rtl w:val="0"/>
              </w:rPr>
            </w:r>
          </w:p>
        </w:tc>
      </w:tr>
    </w:tbl>
    <w:p w:rsidR="00000000" w:rsidDel="00000000" w:rsidP="00000000" w:rsidRDefault="00000000" w:rsidRPr="00000000" w14:paraId="00000034">
      <w:pPr>
        <w:spacing w:after="40" w:before="340" w:lineRule="auto"/>
        <w:rPr/>
      </w:pPr>
      <w:r w:rsidDel="00000000" w:rsidR="00000000" w:rsidRPr="00000000">
        <w:rPr>
          <w:rFonts w:ascii="Calibri" w:cs="Calibri" w:eastAsia="Calibri" w:hAnsi="Calibri"/>
          <w:b w:val="1"/>
          <w:bCs w:val="1"/>
          <w:color w:val="0c8a89"/>
          <w:sz w:val="18"/>
          <w:szCs w:val="18"/>
          <w:rtl w:val="0"/>
        </w:rPr>
        <w:t xml:space="preserve">MODULE 3</w:t>
      </w:r>
      <w:r w:rsidDel="00000000" w:rsidR="00000000" w:rsidRPr="00000000">
        <w:rPr>
          <w:rtl w:val="0"/>
        </w:rPr>
      </w:r>
    </w:p>
    <w:p w:rsidR="00000000" w:rsidDel="00000000" w:rsidP="00000000" w:rsidRDefault="00000000" w:rsidRPr="00000000" w14:paraId="00000035">
      <w:pPr>
        <w:pBdr>
          <w:bottom w:color="152a49" w:space="5" w:sz="14" w:val="single"/>
        </w:pBdr>
        <w:spacing w:after="120" w:lineRule="auto"/>
        <w:rPr/>
      </w:pPr>
      <w:r w:rsidDel="00000000" w:rsidR="00000000" w:rsidRPr="00000000">
        <w:rPr>
          <w:rFonts w:ascii="Calibri" w:cs="Calibri" w:eastAsia="Calibri" w:hAnsi="Calibri"/>
          <w:b w:val="1"/>
          <w:bCs w:val="1"/>
          <w:color w:val="152a49"/>
          <w:sz w:val="30"/>
          <w:szCs w:val="30"/>
          <w:rtl w:val="0"/>
        </w:rPr>
        <w:t xml:space="preserve">Match the design to the question</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Fonts w:ascii="Calibri" w:cs="Calibri" w:eastAsia="Calibri" w:hAnsi="Calibri"/>
          <w:color w:val="0f172a"/>
          <w:sz w:val="21"/>
          <w:szCs w:val="21"/>
          <w:rtl w:val="0"/>
        </w:rPr>
        <w:t xml:space="preserve">The design must be capable of answering the question you asked. A question about attribution (“how much did the programme cause?”) needs a credible counterfactual: a comparison group and a baseline, decided before rollout. A question about experience or mechanism (“why did it work, for whom?”) needs qualitative depth. Demanding attribution from a design that cannot support it is the most expensive mistake in commissioning.</w:t>
      </w:r>
      <w:r w:rsidDel="00000000" w:rsidR="00000000" w:rsidRPr="00000000">
        <w:rPr>
          <w:rtl w:val="0"/>
        </w:rPr>
      </w:r>
    </w:p>
    <w:p>
      <w:r>
        <w:rPr>
          <w:i/>
          <w:color w:val="64748B"/>
          <w:sz w:val="18"/>
        </w:rPr>
        <w:t>— Sample ends here —  The full editable file (all sections, reference assets and a worked example) is delivered after purchase at impactmojo.in/products/commissioning-workbook/</w:t>
      </w:r>
    </w:p>
    <w:sectPr>
      <w:headerReference r:id="rId7" w:type="default"/>
      <w:headerReference r:id="rId8" w:type="first"/>
      <w:footerReference r:id="rId9" w:type="default"/>
      <w:footerReference r:id="rId10"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pBdr>
        <w:top w:color="c9d2dd" w:space="4" w:sz="6" w:val="single"/>
      </w:pBdr>
      <w:tabs>
        <w:tab w:val="right" w:leader="none" w:pos="9026"/>
      </w:tabs>
      <w:spacing w:before="60" w:lineRule="auto"/>
      <w:rPr/>
    </w:pPr>
    <w:r w:rsidDel="00000000" w:rsidR="00000000" w:rsidRPr="00000000">
      <w:rPr>
        <w:rFonts w:ascii="Calibri" w:cs="Calibri" w:eastAsia="Calibri" w:hAnsi="Calibri"/>
        <w:color w:val="5b6776"/>
        <w:sz w:val="15"/>
        <w:szCs w:val="15"/>
        <w:rtl w:val="0"/>
      </w:rPr>
      <w:t xml:space="preserve">© 2026 ImpactMojo · CC BY-NC-ND 4.0 · impactmojo.inPage </w:t>
    </w:r>
    <w:r w:rsidDel="00000000" w:rsidR="00000000" w:rsidRPr="00000000">
      <w:rPr>
        <w:rFonts w:ascii="Calibri" w:cs="Calibri" w:eastAsia="Calibri" w:hAnsi="Calibri"/>
        <w:color w:val="5b6776"/>
        <w:sz w:val="15"/>
        <w:szCs w:val="15"/>
      </w:rPr>
      <w:fldChar w:fldCharType="begin"/>
      <w:instrText xml:space="preserve">PAGE</w:instrText>
      <w:fldChar w:fldCharType="separate"/>
      <w:fldChar w:fldCharType="end"/>
    </w:r>
    <w:r w:rsidDel="00000000" w:rsidR="00000000" w:rsidRPr="00000000">
      <w:rPr>
        <w:rFonts w:ascii="Calibri" w:cs="Calibri" w:eastAsia="Calibri" w:hAnsi="Calibri"/>
        <w:color w:val="5b6776"/>
        <w:sz w:val="15"/>
        <w:szCs w:val="15"/>
        <w:rtl w:val="0"/>
      </w:rPr>
      <w:t xml:space="preserve"> of </w:t>
    </w:r>
    <w:r w:rsidDel="00000000" w:rsidR="00000000" w:rsidRPr="00000000">
      <w:rPr>
        <w:rFonts w:ascii="Calibri" w:cs="Calibri" w:eastAsia="Calibri" w:hAnsi="Calibri"/>
        <w:color w:val="5b6776"/>
        <w:sz w:val="15"/>
        <w:szCs w:val="15"/>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Bdr>
        <w:top w:color="c9d2dd" w:space="4" w:sz="6" w:val="single"/>
      </w:pBdr>
      <w:tabs>
        <w:tab w:val="right" w:leader="none" w:pos="9026"/>
      </w:tabs>
      <w:spacing w:before="60" w:lineRule="auto"/>
      <w:rPr/>
    </w:pPr>
    <w:r w:rsidDel="00000000" w:rsidR="00000000" w:rsidRPr="00000000">
      <w:rPr>
        <w:rFonts w:ascii="Calibri" w:cs="Calibri" w:eastAsia="Calibri" w:hAnsi="Calibri"/>
        <w:color w:val="5b6776"/>
        <w:sz w:val="15"/>
        <w:szCs w:val="15"/>
        <w:rtl w:val="0"/>
      </w:rPr>
      <w:t xml:space="preserve">© 2026 ImpactMojo · CC BY-NC-ND 4.0 · impactmojo.inPage </w:t>
    </w:r>
    <w:r w:rsidDel="00000000" w:rsidR="00000000" w:rsidRPr="00000000">
      <w:rPr>
        <w:rFonts w:ascii="Calibri" w:cs="Calibri" w:eastAsia="Calibri" w:hAnsi="Calibri"/>
        <w:color w:val="5b6776"/>
        <w:sz w:val="15"/>
        <w:szCs w:val="15"/>
      </w:rPr>
      <w:fldChar w:fldCharType="begin"/>
      <w:instrText xml:space="preserve">PAGE</w:instrText>
      <w:fldChar w:fldCharType="separate"/>
      <w:fldChar w:fldCharType="end"/>
    </w:r>
    <w:r w:rsidDel="00000000" w:rsidR="00000000" w:rsidRPr="00000000">
      <w:rPr>
        <w:rFonts w:ascii="Calibri" w:cs="Calibri" w:eastAsia="Calibri" w:hAnsi="Calibri"/>
        <w:color w:val="5b6776"/>
        <w:sz w:val="15"/>
        <w:szCs w:val="15"/>
        <w:rtl w:val="0"/>
      </w:rPr>
      <w:t xml:space="preserve"> of </w:t>
    </w:r>
    <w:r w:rsidDel="00000000" w:rsidR="00000000" w:rsidRPr="00000000">
      <w:rPr>
        <w:rFonts w:ascii="Calibri" w:cs="Calibri" w:eastAsia="Calibri" w:hAnsi="Calibri"/>
        <w:color w:val="5b6776"/>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020.0" w:type="dxa"/>
      <w:jc w:val="left"/>
      <w:tblBorders>
        <w:top w:color="000000" w:space="0" w:sz="0" w:val="nil"/>
        <w:left w:color="000000" w:space="0" w:sz="0" w:val="nil"/>
        <w:bottom w:color="0c8a89" w:space="0" w:sz="8" w:val="single"/>
        <w:right w:color="000000" w:space="0" w:sz="0" w:val="nil"/>
        <w:insideH w:color="000000" w:space="0" w:sz="0" w:val="nil"/>
        <w:insideV w:color="000000" w:space="0" w:sz="0" w:val="nil"/>
      </w:tblBorders>
      <w:tblLayout w:type="fixed"/>
      <w:tblLook w:val="0000"/>
    </w:tblPr>
    <w:tblGrid>
      <w:gridCol w:w="620"/>
      <w:gridCol w:w="8400"/>
      <w:tblGridChange w:id="0">
        <w:tblGrid>
          <w:gridCol w:w="620"/>
          <w:gridCol w:w="8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0.0" w:type="dxa"/>
            <w:bottom w:w="60.0" w:type="dxa"/>
            <w:right w:w="80.0" w:type="dxa"/>
          </w:tcMar>
          <w:vAlign w:val="center"/>
        </w:tcPr>
        <w:p w:rsidR="00000000" w:rsidDel="00000000" w:rsidP="00000000" w:rsidRDefault="00000000" w:rsidRPr="00000000" w14:paraId="0000007A">
          <w:pPr>
            <w:rPr/>
          </w:pPr>
          <w:r w:rsidDel="00000000" w:rsidR="00000000" w:rsidRPr="00000000">
            <w:rPr/>
            <w:drawing>
              <wp:inline distB="0" distT="0" distL="0" distR="0">
                <wp:extent cx="285750" cy="285750"/>
                <wp:effectExtent b="0" l="0" r="0" t="0"/>
                <wp:docPr descr="mark" id="2" name="image2.png"/>
                <a:graphic>
                  <a:graphicData uri="http://schemas.openxmlformats.org/drawingml/2006/picture">
                    <pic:pic>
                      <pic:nvPicPr>
                        <pic:cNvPr descr="mark" id="0" name="image2.png"/>
                        <pic:cNvPicPr preferRelativeResize="0"/>
                      </pic:nvPicPr>
                      <pic:blipFill>
                        <a:blip r:embed="rId1"/>
                        <a:srcRect b="0" l="0" r="0" t="0"/>
                        <a:stretch>
                          <a:fillRect/>
                        </a:stretch>
                      </pic:blipFill>
                      <pic:spPr>
                        <a:xfrm>
                          <a:off x="0" y="0"/>
                          <a:ext cx="285750" cy="2857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0.0" w:type="dxa"/>
            <w:bottom w:w="60.0" w:type="dxa"/>
            <w:right w:w="0.0" w:type="dxa"/>
          </w:tcMar>
          <w:vAlign w:val="center"/>
        </w:tcPr>
        <w:p w:rsidR="00000000" w:rsidDel="00000000" w:rsidP="00000000" w:rsidRDefault="00000000" w:rsidRPr="00000000" w14:paraId="0000007B">
          <w:pPr>
            <w:tabs>
              <w:tab w:val="right" w:leader="none" w:pos="9026"/>
            </w:tabs>
            <w:rPr/>
          </w:pPr>
          <w:r w:rsidDel="00000000" w:rsidR="00000000" w:rsidRPr="00000000">
            <w:rPr>
              <w:rFonts w:ascii="Calibri" w:cs="Calibri" w:eastAsia="Calibri" w:hAnsi="Calibri"/>
              <w:b w:val="1"/>
              <w:bCs w:val="1"/>
              <w:color w:val="152a49"/>
              <w:sz w:val="18"/>
              <w:szCs w:val="18"/>
              <w:rtl w:val="0"/>
            </w:rPr>
            <w:t xml:space="preserve">ImpactMojo</w:t>
          </w:r>
          <w:r w:rsidDel="00000000" w:rsidR="00000000" w:rsidRPr="00000000">
            <w:rPr>
              <w:rFonts w:ascii="Calibri" w:cs="Calibri" w:eastAsia="Calibri" w:hAnsi="Calibri"/>
              <w:color w:val="5b6776"/>
              <w:sz w:val="18"/>
              <w:szCs w:val="18"/>
              <w:rtl w:val="0"/>
            </w:rPr>
            <w:t xml:space="preserve">   ·   Workbook · Commissioning Research</w:t>
          </w:r>
          <w:r w:rsidDel="00000000" w:rsidR="00000000" w:rsidRPr="00000000">
            <w:rPr>
              <w:rFonts w:ascii="Calibri" w:cs="Calibri" w:eastAsia="Calibri" w:hAnsi="Calibri"/>
              <w:color w:val="aebdcc"/>
              <w:sz w:val="16"/>
              <w:szCs w:val="16"/>
              <w:rtl w:val="0"/>
            </w:rPr>
            <w:t xml:space="preserve">Development Know-How</w:t>
          </w: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f172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f172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