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color w:val="0369A1"/>
          <w:sz w:val="20"/>
        </w:rPr>
        <w:t>●  SAMPLE — preview only. Not licensed for use. Buy the full editable file at impactmojo.in/products/fgd-guide/</w:t>
      </w:r>
    </w:p>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20"/>
        <w:tblGridChange w:id="0">
          <w:tblGrid>
            <w:gridCol w:w="9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2a49" w:val="clear"/>
            <w:tcMar>
              <w:top w:w="360.0" w:type="dxa"/>
              <w:left w:w="240.0" w:type="dxa"/>
              <w:bottom w:w="360.0" w:type="dxa"/>
              <w:right w:w="240.0" w:type="dxa"/>
            </w:tcMar>
          </w:tcPr>
          <w:p w:rsidR="00000000" w:rsidDel="00000000" w:rsidP="00000000" w:rsidRDefault="00000000" w:rsidRPr="00000000" w14:paraId="00000002">
            <w:pPr>
              <w:spacing w:after="160" w:lineRule="auto"/>
              <w:jc w:val="center"/>
              <w:rPr/>
            </w:pPr>
            <w:r w:rsidDel="00000000" w:rsidR="00000000" w:rsidRPr="00000000">
              <w:rPr/>
              <w:drawing>
                <wp:inline distB="0" distT="0" distL="0" distR="0">
                  <wp:extent cx="1866900" cy="1457325"/>
                  <wp:effectExtent b="0" l="0" r="0" t="0"/>
                  <wp:docPr descr="logo" id="1" name="image1.jpg"/>
                  <a:graphic>
                    <a:graphicData uri="http://schemas.openxmlformats.org/drawingml/2006/picture">
                      <pic:pic>
                        <pic:nvPicPr>
                          <pic:cNvPr descr="logo" id="0" name="image1.jpg"/>
                          <pic:cNvPicPr preferRelativeResize="0"/>
                        </pic:nvPicPr>
                        <pic:blipFill>
                          <a:blip r:embed="rId6"/>
                          <a:srcRect b="0" l="0" r="0" t="0"/>
                          <a:stretch>
                            <a:fillRect/>
                          </a:stretch>
                        </pic:blipFill>
                        <pic:spPr>
                          <a:xfrm>
                            <a:off x="0" y="0"/>
                            <a:ext cx="1866900" cy="145732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ffffff"/>
                <w:sz w:val="40"/>
                <w:szCs w:val="40"/>
                <w:rtl w:val="0"/>
              </w:rPr>
              <w:t xml:space="preserve">FGD Facilitator’s Guide</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Calibri" w:cs="Calibri" w:eastAsia="Calibri" w:hAnsi="Calibri"/>
                <w:i w:val="1"/>
                <w:iCs w:val="1"/>
                <w:color w:val="0dbeb6"/>
                <w:sz w:val="22"/>
                <w:szCs w:val="22"/>
                <w:rtl w:val="0"/>
              </w:rPr>
              <w:t xml:space="preserve">The complete pack: annotated guide, probing and dynamics references, a note-taking template, analysis steps and a worked route</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Fonts w:ascii="Calibri" w:cs="Calibri" w:eastAsia="Calibri" w:hAnsi="Calibri"/>
                <w:color w:val="aebdcc"/>
                <w:sz w:val="17"/>
                <w:szCs w:val="17"/>
                <w:rtl w:val="0"/>
              </w:rPr>
              <w:t xml:space="preserve">Template · DOCX · ₹199</w:t>
            </w:r>
            <w:r w:rsidDel="00000000" w:rsidR="00000000" w:rsidRPr="00000000">
              <w:rPr>
                <w:rtl w:val="0"/>
              </w:rPr>
            </w:r>
          </w:p>
        </w:tc>
      </w:tr>
    </w:tbl>
    <w:p w:rsidR="00000000" w:rsidDel="00000000" w:rsidP="00000000" w:rsidRDefault="00000000" w:rsidRPr="00000000" w14:paraId="00000006">
      <w:pPr>
        <w:spacing w:after="40" w:before="160" w:lineRule="auto"/>
        <w:jc w:val="center"/>
        <w:rPr/>
      </w:pPr>
      <w:r w:rsidDel="00000000" w:rsidR="00000000" w:rsidRPr="00000000">
        <w:rPr>
          <w:rFonts w:ascii="Calibri" w:cs="Calibri" w:eastAsia="Calibri" w:hAnsi="Calibri"/>
          <w:color w:val="5b6776"/>
          <w:sz w:val="18"/>
          <w:szCs w:val="18"/>
          <w:rtl w:val="0"/>
        </w:rPr>
        <w:t xml:space="preserve">Version 2.0   ·   June 2026   ·   Part of the Evaluation Essentials Kit</w:t>
      </w:r>
      <w:r w:rsidDel="00000000" w:rsidR="00000000" w:rsidRPr="00000000">
        <w:rPr>
          <w:rtl w:val="0"/>
        </w:rPr>
      </w:r>
    </w:p>
    <w:tbl>
      <w:tblPr>
        <w:tblStyle w:val="Table2"/>
        <w:tblW w:w="9020.0" w:type="dxa"/>
        <w:jc w:val="left"/>
        <w:tblBorders>
          <w:top w:color="0c8a89" w:space="0" w:sz="4" w:val="single"/>
          <w:left w:color="0c8a89" w:space="0" w:sz="24" w:val="single"/>
          <w:bottom w:color="0c8a89" w:space="0" w:sz="4" w:val="single"/>
          <w:right w:color="0c8a89"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6f5" w:val="clear"/>
            <w:tcMar>
              <w:top w:w="100.0" w:type="dxa"/>
              <w:left w:w="160.0" w:type="dxa"/>
              <w:bottom w:w="100.0" w:type="dxa"/>
              <w:right w:w="160.0" w:type="dxa"/>
            </w:tcMar>
          </w:tcPr>
          <w:p w:rsidR="00000000" w:rsidDel="00000000" w:rsidP="00000000" w:rsidRDefault="00000000" w:rsidRPr="00000000" w14:paraId="00000007">
            <w:pPr>
              <w:spacing w:after="40" w:lineRule="auto"/>
              <w:rPr/>
            </w:pPr>
            <w:r w:rsidDel="00000000" w:rsidR="00000000" w:rsidRPr="00000000">
              <w:rPr>
                <w:rFonts w:ascii="Calibri" w:cs="Calibri" w:eastAsia="Calibri" w:hAnsi="Calibri"/>
                <w:b w:val="1"/>
                <w:bCs w:val="1"/>
                <w:color w:val="0c8a89"/>
                <w:sz w:val="17"/>
                <w:szCs w:val="17"/>
                <w:rtl w:val="0"/>
              </w:rPr>
              <w:t xml:space="preserve">WHAT IS INSIDE THIS PACK</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0f172a"/>
                <w:sz w:val="20"/>
                <w:szCs w:val="20"/>
                <w:rtl w:val="0"/>
              </w:rPr>
              <w:t xml:space="preserve">Part A. What a focus group is good for, and when to use something else.</w:t>
            </w:r>
            <w:r w:rsidDel="00000000" w:rsidR="00000000" w:rsidRPr="00000000">
              <w:rPr>
                <w:rtl w:val="0"/>
              </w:rPr>
            </w:r>
          </w:p>
          <w:p w:rsidR="00000000" w:rsidDel="00000000" w:rsidP="00000000" w:rsidRDefault="00000000" w:rsidRPr="00000000" w14:paraId="00000009">
            <w:pPr>
              <w:spacing w:after="60" w:lineRule="auto"/>
              <w:rPr/>
            </w:pPr>
            <w:r w:rsidDel="00000000" w:rsidR="00000000" w:rsidRPr="00000000">
              <w:rPr>
                <w:rFonts w:ascii="Calibri" w:cs="Calibri" w:eastAsia="Calibri" w:hAnsi="Calibri"/>
                <w:color w:val="0f172a"/>
                <w:sz w:val="20"/>
                <w:szCs w:val="20"/>
                <w:rtl w:val="0"/>
              </w:rPr>
              <w:t xml:space="preserve">Part B. The annotated guide, section by section, with guidance, what good looks like, the mistakes to avoid, and space to plan.</w:t>
            </w:r>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Fonts w:ascii="Calibri" w:cs="Calibri" w:eastAsia="Calibri" w:hAnsi="Calibri"/>
                <w:color w:val="0f172a"/>
                <w:sz w:val="20"/>
                <w:szCs w:val="20"/>
                <w:rtl w:val="0"/>
              </w:rPr>
              <w:t xml:space="preserve">Part C. Reference assets: a probing-techniques bank, question-route design principles, a note-taking template, a difficult-dynamics guide, an FGD-versus-KII-versus-survey decision aid, group-consent specifics, transcript-to-analysis steps, a glossary, and sources.</w:t>
            </w:r>
            <w:r w:rsidDel="00000000" w:rsidR="00000000" w:rsidRPr="00000000">
              <w:rPr>
                <w:rtl w:val="0"/>
              </w:rPr>
            </w:r>
          </w:p>
          <w:p w:rsidR="00000000" w:rsidDel="00000000" w:rsidP="00000000" w:rsidRDefault="00000000" w:rsidRPr="00000000" w14:paraId="0000000B">
            <w:pPr>
              <w:spacing w:after="0" w:lineRule="auto"/>
              <w:rPr/>
            </w:pPr>
            <w:r w:rsidDel="00000000" w:rsidR="00000000" w:rsidRPr="00000000">
              <w:rPr>
                <w:rFonts w:ascii="Calibri" w:cs="Calibri" w:eastAsia="Calibri" w:hAnsi="Calibri"/>
                <w:color w:val="0f172a"/>
                <w:sz w:val="20"/>
                <w:szCs w:val="20"/>
                <w:rtl w:val="0"/>
              </w:rPr>
              <w:t xml:space="preserve">Part D. A worked question route for a maternal-health discussion, with probes.</w:t>
            </w:r>
            <w:r w:rsidDel="00000000" w:rsidR="00000000" w:rsidRPr="00000000">
              <w:rPr>
                <w:rtl w:val="0"/>
              </w:rPr>
            </w:r>
          </w:p>
        </w:tc>
      </w:tr>
    </w:tbl>
    <w:p w:rsidR="00000000" w:rsidDel="00000000" w:rsidP="00000000" w:rsidRDefault="00000000" w:rsidRPr="00000000" w14:paraId="0000000C">
      <w:pPr>
        <w:spacing w:after="100" w:lineRule="auto"/>
        <w:rPr/>
      </w:pPr>
      <w:r w:rsidDel="00000000" w:rsidR="00000000" w:rsidRPr="00000000">
        <w:rPr>
          <w:rFonts w:ascii="Calibri" w:cs="Calibri" w:eastAsia="Calibri" w:hAnsi="Calibri"/>
          <w:i w:val="1"/>
          <w:iCs w:val="1"/>
          <w:color w:val="5b6776"/>
          <w:sz w:val="19"/>
          <w:szCs w:val="19"/>
          <w:rtl w:val="0"/>
        </w:rPr>
        <w:t xml:space="preserve">Run with two people: a facilitator who asks and listens, and a note-taker who records who said what and how strongly.</w:t>
      </w:r>
      <w:r w:rsidDel="00000000" w:rsidR="00000000" w:rsidRPr="00000000">
        <w:rPr>
          <w:rtl w:val="0"/>
        </w:rPr>
      </w:r>
    </w:p>
    <w:p w:rsidR="00000000" w:rsidDel="00000000" w:rsidP="00000000" w:rsidRDefault="00000000" w:rsidRPr="00000000" w14:paraId="0000000D">
      <w:pPr>
        <w:spacing w:after="40" w:before="320" w:lineRule="auto"/>
        <w:rPr/>
      </w:pPr>
      <w:r w:rsidDel="00000000" w:rsidR="00000000" w:rsidRPr="00000000">
        <w:rPr>
          <w:rFonts w:ascii="Calibri" w:cs="Calibri" w:eastAsia="Calibri" w:hAnsi="Calibri"/>
          <w:b w:val="1"/>
          <w:bCs w:val="1"/>
          <w:color w:val="0c8a89"/>
          <w:sz w:val="18"/>
          <w:szCs w:val="18"/>
          <w:rtl w:val="0"/>
        </w:rPr>
        <w:t xml:space="preserve">PART A</w:t>
      </w:r>
      <w:r w:rsidDel="00000000" w:rsidR="00000000" w:rsidRPr="00000000">
        <w:rPr>
          <w:rtl w:val="0"/>
        </w:rPr>
      </w:r>
    </w:p>
    <w:p w:rsidR="00000000" w:rsidDel="00000000" w:rsidP="00000000" w:rsidRDefault="00000000" w:rsidRPr="00000000" w14:paraId="0000000E">
      <w:pPr>
        <w:pBdr>
          <w:bottom w:color="152a49" w:space="5" w:sz="14" w:val="single"/>
        </w:pBdr>
        <w:spacing w:after="120" w:lineRule="auto"/>
        <w:rPr/>
      </w:pPr>
      <w:r w:rsidDel="00000000" w:rsidR="00000000" w:rsidRPr="00000000">
        <w:rPr>
          <w:rFonts w:ascii="Calibri" w:cs="Calibri" w:eastAsia="Calibri" w:hAnsi="Calibri"/>
          <w:b w:val="1"/>
          <w:bCs w:val="1"/>
          <w:color w:val="152a49"/>
          <w:sz w:val="32"/>
          <w:szCs w:val="32"/>
          <w:rtl w:val="0"/>
        </w:rPr>
        <w:t xml:space="preserve">What a focus group is for</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Calibri" w:cs="Calibri" w:eastAsia="Calibri" w:hAnsi="Calibri"/>
          <w:color w:val="0f172a"/>
          <w:sz w:val="21"/>
          <w:szCs w:val="21"/>
          <w:rtl w:val="0"/>
        </w:rPr>
        <w:t xml:space="preserve">A focus group is the right tool when you want to understand how people talk about something together: the language they use, where they agree and differ, and the reasoning behind a pattern a survey has already shown. It is the wrong tool for measuring how many, for sensitive matters people will not discuss in front of others, or for topics where one loud voice will shape the room. When the question is about prevalence, use a survey; when it is private, use an individual interview.</w:t>
      </w:r>
      <w:r w:rsidDel="00000000" w:rsidR="00000000" w:rsidRPr="00000000">
        <w:rPr>
          <w:rtl w:val="0"/>
        </w:rPr>
      </w:r>
    </w:p>
    <w:p w:rsidR="00000000" w:rsidDel="00000000" w:rsidP="00000000" w:rsidRDefault="00000000" w:rsidRPr="00000000" w14:paraId="00000010">
      <w:pPr>
        <w:spacing w:after="40" w:before="320" w:lineRule="auto"/>
        <w:rPr/>
      </w:pPr>
      <w:r w:rsidDel="00000000" w:rsidR="00000000" w:rsidRPr="00000000">
        <w:rPr>
          <w:rFonts w:ascii="Calibri" w:cs="Calibri" w:eastAsia="Calibri" w:hAnsi="Calibri"/>
          <w:b w:val="1"/>
          <w:bCs w:val="1"/>
          <w:color w:val="0c8a89"/>
          <w:sz w:val="18"/>
          <w:szCs w:val="18"/>
          <w:rtl w:val="0"/>
        </w:rPr>
        <w:t xml:space="preserve">PART B</w:t>
      </w:r>
      <w:r w:rsidDel="00000000" w:rsidR="00000000" w:rsidRPr="00000000">
        <w:rPr>
          <w:rtl w:val="0"/>
        </w:rPr>
      </w:r>
    </w:p>
    <w:p w:rsidR="00000000" w:rsidDel="00000000" w:rsidP="00000000" w:rsidRDefault="00000000" w:rsidRPr="00000000" w14:paraId="00000011">
      <w:pPr>
        <w:pBdr>
          <w:bottom w:color="152a49" w:space="5" w:sz="14" w:val="single"/>
        </w:pBdr>
        <w:spacing w:after="120" w:lineRule="auto"/>
        <w:rPr/>
      </w:pPr>
      <w:r w:rsidDel="00000000" w:rsidR="00000000" w:rsidRPr="00000000">
        <w:rPr>
          <w:rFonts w:ascii="Calibri" w:cs="Calibri" w:eastAsia="Calibri" w:hAnsi="Calibri"/>
          <w:b w:val="1"/>
          <w:bCs w:val="1"/>
          <w:color w:val="152a49"/>
          <w:sz w:val="32"/>
          <w:szCs w:val="32"/>
          <w:rtl w:val="0"/>
        </w:rPr>
        <w:t xml:space="preserve">The annotated guide</w:t>
      </w:r>
      <w:r w:rsidDel="00000000" w:rsidR="00000000" w:rsidRPr="00000000">
        <w:rPr>
          <w:rtl w:val="0"/>
        </w:rPr>
      </w:r>
    </w:p>
    <w:p w:rsidR="00000000" w:rsidDel="00000000" w:rsidP="00000000" w:rsidRDefault="00000000" w:rsidRPr="00000000" w14:paraId="00000012">
      <w:pPr>
        <w:spacing w:after="60" w:before="240" w:lineRule="auto"/>
        <w:rPr/>
      </w:pPr>
      <w:r w:rsidDel="00000000" w:rsidR="00000000" w:rsidRPr="00000000">
        <w:rPr>
          <w:rFonts w:ascii="Calibri" w:cs="Calibri" w:eastAsia="Calibri" w:hAnsi="Calibri"/>
          <w:b w:val="1"/>
          <w:bCs w:val="1"/>
          <w:color w:val="152a49"/>
          <w:sz w:val="23"/>
          <w:szCs w:val="23"/>
          <w:rtl w:val="0"/>
        </w:rPr>
        <w:t xml:space="preserve">1.  Purpose and the questions it must illuminate</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What this discussion is for, stated as the two or three things you must come away understanding.</w:t>
      </w:r>
      <w:r w:rsidDel="00000000" w:rsidR="00000000" w:rsidRPr="00000000">
        <w:rPr>
          <w:rtl w:val="0"/>
        </w:rPr>
      </w:r>
    </w:p>
    <w:p w:rsidR="00000000" w:rsidDel="00000000" w:rsidP="00000000" w:rsidRDefault="00000000" w:rsidRPr="00000000" w14:paraId="00000014">
      <w:pPr>
        <w:spacing w:after="100" w:lineRule="auto"/>
        <w:rPr/>
      </w:pPr>
      <w:r w:rsidDel="00000000" w:rsidR="00000000" w:rsidRPr="00000000">
        <w:rPr>
          <w:rFonts w:ascii="Calibri" w:cs="Calibri" w:eastAsia="Calibri" w:hAnsi="Calibri"/>
          <w:i w:val="1"/>
          <w:iCs w:val="1"/>
          <w:color w:val="5b6776"/>
          <w:sz w:val="19"/>
          <w:szCs w:val="19"/>
          <w:rtl w:val="0"/>
        </w:rPr>
        <w:t xml:space="preserve">Tie it to a larger question. A focus group usually explains or deepens, rather than stands alone.</w:t>
      </w:r>
      <w:r w:rsidDel="00000000" w:rsidR="00000000" w:rsidRPr="00000000">
        <w:rPr>
          <w:rtl w:val="0"/>
        </w:rPr>
      </w:r>
    </w:p>
    <w:tbl>
      <w:tblPr>
        <w:tblStyle w:val="Table3"/>
        <w:tblW w:w="9020.0" w:type="dxa"/>
        <w:jc w:val="left"/>
        <w:tblBorders>
          <w:top w:color="1fae63" w:space="0" w:sz="4" w:val="single"/>
          <w:left w:color="1fae63" w:space="0" w:sz="24" w:val="single"/>
          <w:bottom w:color="1fae63" w:space="0" w:sz="4" w:val="single"/>
          <w:right w:color="1fae63"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15">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16">
            <w:pPr>
              <w:spacing w:after="0" w:lineRule="auto"/>
              <w:rPr/>
            </w:pPr>
            <w:r w:rsidDel="00000000" w:rsidR="00000000" w:rsidRPr="00000000">
              <w:rPr>
                <w:rFonts w:ascii="Calibri" w:cs="Calibri" w:eastAsia="Calibri" w:hAnsi="Calibri"/>
                <w:color w:val="0f172a"/>
                <w:sz w:val="20"/>
                <w:szCs w:val="20"/>
                <w:rtl w:val="0"/>
              </w:rPr>
              <w:t xml:space="preserve">The purpose names what the group will explain that other methods cannot.</w:t>
            </w:r>
            <w:r w:rsidDel="00000000" w:rsidR="00000000" w:rsidRPr="00000000">
              <w:rPr>
                <w:rtl w:val="0"/>
              </w:rPr>
            </w:r>
          </w:p>
        </w:tc>
      </w:tr>
    </w:tbl>
    <w:p w:rsidR="00000000" w:rsidDel="00000000" w:rsidP="00000000" w:rsidRDefault="00000000" w:rsidRPr="00000000" w14:paraId="00000017">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18">
      <w:pPr>
        <w:spacing w:after="60" w:before="240" w:lineRule="auto"/>
        <w:rPr/>
      </w:pPr>
      <w:r w:rsidDel="00000000" w:rsidR="00000000" w:rsidRPr="00000000">
        <w:rPr>
          <w:rFonts w:ascii="Calibri" w:cs="Calibri" w:eastAsia="Calibri" w:hAnsi="Calibri"/>
          <w:b w:val="1"/>
          <w:bCs w:val="1"/>
          <w:color w:val="152a49"/>
          <w:sz w:val="23"/>
          <w:szCs w:val="23"/>
          <w:rtl w:val="0"/>
        </w:rPr>
        <w:t xml:space="preserve">2.  Group composition and recruitment</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Who is in the room, and why grouped this way.</w:t>
      </w:r>
      <w:r w:rsidDel="00000000" w:rsidR="00000000" w:rsidRPr="00000000">
        <w:rPr>
          <w:rtl w:val="0"/>
        </w:rPr>
      </w:r>
    </w:p>
    <w:p w:rsidR="00000000" w:rsidDel="00000000" w:rsidP="00000000" w:rsidRDefault="00000000" w:rsidRPr="00000000" w14:paraId="0000001A">
      <w:pPr>
        <w:spacing w:after="100" w:lineRule="auto"/>
        <w:rPr/>
      </w:pPr>
      <w:r w:rsidDel="00000000" w:rsidR="00000000" w:rsidRPr="00000000">
        <w:rPr>
          <w:rFonts w:ascii="Calibri" w:cs="Calibri" w:eastAsia="Calibri" w:hAnsi="Calibri"/>
          <w:i w:val="1"/>
          <w:iCs w:val="1"/>
          <w:color w:val="5b6776"/>
          <w:sz w:val="19"/>
          <w:szCs w:val="19"/>
          <w:rtl w:val="0"/>
        </w:rPr>
        <w:t xml:space="preserve">Group by similarity so people speak freely; do not mix people with power over each other (supervisors with staff, in-laws with daughters-in-law). Aim for six to ten.</w:t>
      </w:r>
      <w:r w:rsidDel="00000000" w:rsidR="00000000" w:rsidRPr="00000000">
        <w:rPr>
          <w:rtl w:val="0"/>
        </w:rPr>
      </w:r>
    </w:p>
    <w:tbl>
      <w:tblPr>
        <w:tblStyle w:val="Table4"/>
        <w:tblW w:w="9020.0" w:type="dxa"/>
        <w:jc w:val="left"/>
        <w:tblBorders>
          <w:top w:color="1fae63" w:space="0" w:sz="4" w:val="single"/>
          <w:left w:color="1fae63" w:space="0" w:sz="24" w:val="single"/>
          <w:bottom w:color="1fae63" w:space="0" w:sz="4" w:val="single"/>
          <w:right w:color="1fae63"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1B">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0f172a"/>
                <w:sz w:val="20"/>
                <w:szCs w:val="20"/>
                <w:rtl w:val="0"/>
              </w:rPr>
              <w:t xml:space="preserve">Homogeneous enough that people feel free to speak, varied enough to surface more than one view.</w:t>
            </w:r>
            <w:r w:rsidDel="00000000" w:rsidR="00000000" w:rsidRPr="00000000">
              <w:rPr>
                <w:rtl w:val="0"/>
              </w:rPr>
            </w:r>
          </w:p>
        </w:tc>
      </w:tr>
      <w:tr>
        <w:trPr>
          <w:cantSplit w:val="0"/>
          <w:tblHeader w:val="0"/>
        </w:trPr>
        <w:tc>
          <w:tcPr>
            <w:shd w:fill="fff7e6" w:val="clear"/>
            <w:tcMar>
              <w:top w:w="100.0" w:type="dxa"/>
              <w:left w:w="160.0" w:type="dxa"/>
              <w:bottom w:w="100.0" w:type="dxa"/>
              <w:right w:w="160.0" w:type="dxa"/>
            </w:tcMar>
          </w:tcPr>
          <w:p w:rsidR="00000000" w:rsidDel="00000000" w:rsidP="00000000" w:rsidRDefault="00000000" w:rsidRPr="00000000" w14:paraId="0000001D">
            <w:pPr>
              <w:spacing w:after="40" w:lineRule="auto"/>
              <w:rPr/>
            </w:pPr>
            <w:r w:rsidDel="00000000" w:rsidR="00000000" w:rsidRPr="00000000">
              <w:rPr>
                <w:rFonts w:ascii="Calibri" w:cs="Calibri" w:eastAsia="Calibri" w:hAnsi="Calibri"/>
                <w:b w:val="1"/>
                <w:bCs w:val="1"/>
                <w:color w:val="8a6100"/>
                <w:sz w:val="17"/>
                <w:szCs w:val="17"/>
                <w:rtl w:val="0"/>
              </w:rPr>
              <w:t xml:space="preserve">COMMON MISTAKES</w:t>
            </w:r>
            <w:r w:rsidDel="00000000" w:rsidR="00000000" w:rsidRPr="00000000">
              <w:rPr>
                <w:rtl w:val="0"/>
              </w:rPr>
            </w:r>
          </w:p>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0f172a"/>
                <w:sz w:val="20"/>
                <w:szCs w:val="20"/>
                <w:rtl w:val="0"/>
              </w:rPr>
              <w:t xml:space="preserve">Mixing a power gradient into one group, so the junior or dependent voices go quiet.</w:t>
            </w:r>
            <w:r w:rsidDel="00000000" w:rsidR="00000000" w:rsidRPr="00000000">
              <w:rPr>
                <w:rtl w:val="0"/>
              </w:rPr>
            </w:r>
          </w:p>
        </w:tc>
      </w:tr>
    </w:tbl>
    <w:p w:rsidR="00000000" w:rsidDel="00000000" w:rsidP="00000000" w:rsidRDefault="00000000" w:rsidRPr="00000000" w14:paraId="0000001F">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20">
      <w:pPr>
        <w:spacing w:after="60" w:before="240" w:lineRule="auto"/>
        <w:rPr/>
      </w:pPr>
      <w:r w:rsidDel="00000000" w:rsidR="00000000" w:rsidRPr="00000000">
        <w:rPr>
          <w:rFonts w:ascii="Calibri" w:cs="Calibri" w:eastAsia="Calibri" w:hAnsi="Calibri"/>
          <w:b w:val="1"/>
          <w:bCs w:val="1"/>
          <w:color w:val="152a49"/>
          <w:sz w:val="23"/>
          <w:szCs w:val="23"/>
          <w:rtl w:val="0"/>
        </w:rPr>
        <w:t xml:space="preserve">3.  Logistics and setup</w:t>
      </w: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The practical arrangements that let the discussion happen well.</w:t>
      </w:r>
      <w:r w:rsidDel="00000000" w:rsidR="00000000" w:rsidRPr="00000000">
        <w:rPr>
          <w:rtl w:val="0"/>
        </w:rPr>
      </w:r>
    </w:p>
    <w:tbl>
      <w:tblPr>
        <w:tblStyle w:val="Table5"/>
        <w:tblW w:w="9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0"/>
        <w:tblGridChange w:id="0">
          <w:tblGrid>
            <w:gridCol w:w="3200"/>
            <w:gridCol w:w="5820"/>
          </w:tblGrid>
        </w:tblGridChange>
      </w:tblGrid>
      <w:tr>
        <w:trPr>
          <w:cantSplit w:val="0"/>
          <w:tblHeader w:val="1"/>
        </w:trPr>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2">
            <w:pPr>
              <w:rPr/>
            </w:pPr>
            <w:r w:rsidDel="00000000" w:rsidR="00000000" w:rsidRPr="00000000">
              <w:rPr>
                <w:rFonts w:ascii="Calibri" w:cs="Calibri" w:eastAsia="Calibri" w:hAnsi="Calibri"/>
                <w:b w:val="1"/>
                <w:bCs w:val="1"/>
                <w:color w:val="ffffff"/>
                <w:sz w:val="19"/>
                <w:szCs w:val="19"/>
                <w:rtl w:val="0"/>
              </w:rPr>
              <w:t xml:space="preserve">Item</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152a49" w:val="clear"/>
            <w:tcMar>
              <w:top w:w="70.0" w:type="dxa"/>
              <w:left w:w="110.0" w:type="dxa"/>
              <w:bottom w:w="70.0" w:type="dxa"/>
              <w:right w:w="110.0" w:type="dxa"/>
            </w:tcMar>
            <w:vAlign w:val="center"/>
          </w:tcPr>
          <w:p w:rsidR="00000000" w:rsidDel="00000000" w:rsidP="00000000" w:rsidRDefault="00000000" w:rsidRPr="00000000" w14:paraId="00000023">
            <w:pPr>
              <w:rPr/>
            </w:pPr>
            <w:r w:rsidDel="00000000" w:rsidR="00000000" w:rsidRPr="00000000">
              <w:rPr>
                <w:rFonts w:ascii="Calibri" w:cs="Calibri" w:eastAsia="Calibri" w:hAnsi="Calibri"/>
                <w:b w:val="1"/>
                <w:bCs w:val="1"/>
                <w:color w:val="ffffff"/>
                <w:sz w:val="19"/>
                <w:szCs w:val="19"/>
                <w:rtl w:val="0"/>
              </w:rPr>
              <w:t xml:space="preserve">Detail</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0f172a"/>
                <w:sz w:val="18"/>
                <w:szCs w:val="18"/>
                <w:rtl w:val="0"/>
              </w:rPr>
              <w:t xml:space="preserve">Date / time / venue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0f172a"/>
                <w:sz w:val="18"/>
                <w:szCs w:val="18"/>
                <w:rtl w:val="0"/>
              </w:rPr>
              <w:t xml:space="preserve">Participants (6–10)</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color w:val="0f172a"/>
                <w:sz w:val="18"/>
                <w:szCs w:val="18"/>
                <w:rtl w:val="0"/>
              </w:rPr>
              <w:t xml:space="preserve">Language</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9">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0f172a"/>
                <w:sz w:val="18"/>
                <w:szCs w:val="18"/>
                <w:rtl w:val="0"/>
              </w:rPr>
              <w:t xml:space="preserve">Recording</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0f172a"/>
                <w:sz w:val="18"/>
                <w:szCs w:val="18"/>
                <w:rtl w:val="0"/>
              </w:rPr>
              <w:t xml:space="preserve">[audio with consent / notes only]</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0f172a"/>
                <w:sz w:val="18"/>
                <w:szCs w:val="18"/>
                <w:rtl w:val="0"/>
              </w:rPr>
              <w:t xml:space="preserve">Facilitator / note-taker</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fffff" w:val="clear"/>
            <w:tcMar>
              <w:top w:w="60.0" w:type="dxa"/>
              <w:left w:w="110.0" w:type="dxa"/>
              <w:bottom w:w="60.0" w:type="dxa"/>
              <w:right w:w="110.0" w:type="dxa"/>
            </w:tcMar>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r>
        <w:trPr>
          <w:cantSplit w:val="0"/>
          <w:tblHeader w:val="0"/>
        </w:trPr>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color w:val="0f172a"/>
                <w:sz w:val="18"/>
                <w:szCs w:val="18"/>
                <w:rtl w:val="0"/>
              </w:rPr>
              <w:t xml:space="preserve">Refreshments / travel reimbursement</w:t>
            </w:r>
            <w:r w:rsidDel="00000000" w:rsidR="00000000" w:rsidRPr="00000000">
              <w:rPr>
                <w:rtl w:val="0"/>
              </w:rPr>
            </w:r>
          </w:p>
        </w:tc>
        <w:tc>
          <w:tcPr>
            <w:tcBorders>
              <w:top w:color="c9d2dd" w:space="0" w:sz="4" w:val="single"/>
              <w:left w:color="c9d2dd" w:space="0" w:sz="4" w:val="single"/>
              <w:bottom w:color="c9d2dd" w:space="0" w:sz="4" w:val="single"/>
              <w:right w:color="c9d2dd" w:space="0" w:sz="4" w:val="single"/>
            </w:tcBorders>
            <w:shd w:fill="f2f6f8" w:val="clear"/>
            <w:tcMar>
              <w:top w:w="60.0" w:type="dxa"/>
              <w:left w:w="110.0" w:type="dxa"/>
              <w:bottom w:w="60.0" w:type="dxa"/>
              <w:right w:w="110.0" w:type="dxa"/>
            </w:tcMar>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0f172a"/>
                <w:sz w:val="18"/>
                <w:szCs w:val="18"/>
                <w:rtl w:val="0"/>
              </w:rPr>
              <w:t xml:space="preserve">[ ]</w:t>
            </w:r>
            <w:r w:rsidDel="00000000" w:rsidR="00000000" w:rsidRPr="00000000">
              <w:rPr>
                <w:rtl w:val="0"/>
              </w:rPr>
            </w:r>
          </w:p>
        </w:tc>
      </w:tr>
    </w:tbl>
    <w:p w:rsidR="00000000" w:rsidDel="00000000" w:rsidP="00000000" w:rsidRDefault="00000000" w:rsidRPr="00000000" w14:paraId="00000030">
      <w:pPr>
        <w:spacing w:after="80" w:lineRule="auto"/>
        <w:rPr/>
      </w:pPr>
      <w:r w:rsidDel="00000000" w:rsidR="00000000" w:rsidRPr="00000000">
        <w:rPr>
          <w:rtl w:val="0"/>
        </w:rPr>
      </w:r>
    </w:p>
    <w:p w:rsidR="00000000" w:rsidDel="00000000" w:rsidP="00000000" w:rsidRDefault="00000000" w:rsidRPr="00000000" w14:paraId="00000031">
      <w:pPr>
        <w:spacing w:after="60" w:before="240" w:lineRule="auto"/>
        <w:rPr/>
      </w:pPr>
      <w:r w:rsidDel="00000000" w:rsidR="00000000" w:rsidRPr="00000000">
        <w:rPr>
          <w:rFonts w:ascii="Calibri" w:cs="Calibri" w:eastAsia="Calibri" w:hAnsi="Calibri"/>
          <w:b w:val="1"/>
          <w:bCs w:val="1"/>
          <w:color w:val="152a49"/>
          <w:sz w:val="23"/>
          <w:szCs w:val="23"/>
          <w:rtl w:val="0"/>
        </w:rPr>
        <w:t xml:space="preserve">4.  Roles: facilitator and note-taker</w:t>
      </w:r>
      <w:r w:rsidDel="00000000" w:rsidR="00000000" w:rsidRPr="00000000">
        <w:rPr>
          <w:rtl w:val="0"/>
        </w:rPr>
      </w:r>
    </w:p>
    <w:p w:rsidR="00000000" w:rsidDel="00000000" w:rsidP="00000000" w:rsidRDefault="00000000" w:rsidRPr="00000000" w14:paraId="00000032">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Two distinct jobs. The facilitator runs the conversation; the note-taker records it.</w:t>
      </w:r>
      <w:r w:rsidDel="00000000" w:rsidR="00000000" w:rsidRPr="00000000">
        <w:rPr>
          <w:rtl w:val="0"/>
        </w:rPr>
      </w:r>
    </w:p>
    <w:p w:rsidR="00000000" w:rsidDel="00000000" w:rsidP="00000000" w:rsidRDefault="00000000" w:rsidRPr="00000000" w14:paraId="00000033">
      <w:pPr>
        <w:spacing w:after="100" w:lineRule="auto"/>
        <w:rPr/>
      </w:pPr>
      <w:r w:rsidDel="00000000" w:rsidR="00000000" w:rsidRPr="00000000">
        <w:rPr>
          <w:rFonts w:ascii="Calibri" w:cs="Calibri" w:eastAsia="Calibri" w:hAnsi="Calibri"/>
          <w:i w:val="1"/>
          <w:iCs w:val="1"/>
          <w:color w:val="5b6776"/>
          <w:sz w:val="19"/>
          <w:szCs w:val="19"/>
          <w:rtl w:val="0"/>
        </w:rPr>
        <w:t xml:space="preserve">The facilitator should talk as little as possible. The note-taker captures seating, who speaks, strength of agreement, and verbatim quotes (Part C3).</w:t>
      </w:r>
      <w:r w:rsidDel="00000000" w:rsidR="00000000" w:rsidRPr="00000000">
        <w:rPr>
          <w:rtl w:val="0"/>
        </w:rPr>
      </w:r>
    </w:p>
    <w:p w:rsidR="00000000" w:rsidDel="00000000" w:rsidP="00000000" w:rsidRDefault="00000000" w:rsidRPr="00000000" w14:paraId="00000034">
      <w:pPr>
        <w:spacing w:after="60" w:before="240" w:lineRule="auto"/>
        <w:rPr/>
      </w:pPr>
      <w:r w:rsidDel="00000000" w:rsidR="00000000" w:rsidRPr="00000000">
        <w:rPr>
          <w:rFonts w:ascii="Calibri" w:cs="Calibri" w:eastAsia="Calibri" w:hAnsi="Calibri"/>
          <w:b w:val="1"/>
          <w:bCs w:val="1"/>
          <w:color w:val="152a49"/>
          <w:sz w:val="23"/>
          <w:szCs w:val="23"/>
          <w:rtl w:val="0"/>
        </w:rPr>
        <w:t xml:space="preserve">5.  Consent (read aloud)</w:t>
      </w:r>
      <w:r w:rsidDel="00000000" w:rsidR="00000000" w:rsidRPr="00000000">
        <w:rPr>
          <w:rtl w:val="0"/>
        </w:rPr>
      </w:r>
    </w:p>
    <w:p w:rsidR="00000000" w:rsidDel="00000000" w:rsidP="00000000" w:rsidRDefault="00000000" w:rsidRPr="00000000" w14:paraId="00000035">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Permission, plus the limits of confidentiality that are particular to a group.</w:t>
      </w:r>
      <w:r w:rsidDel="00000000" w:rsidR="00000000" w:rsidRPr="00000000">
        <w:rPr>
          <w:rtl w:val="0"/>
        </w:rPr>
      </w:r>
    </w:p>
    <w:p w:rsidR="00000000" w:rsidDel="00000000" w:rsidP="00000000" w:rsidRDefault="00000000" w:rsidRPr="00000000" w14:paraId="00000036">
      <w:pPr>
        <w:spacing w:after="100" w:lineRule="auto"/>
        <w:rPr/>
      </w:pPr>
      <w:r w:rsidDel="00000000" w:rsidR="00000000" w:rsidRPr="00000000">
        <w:rPr>
          <w:rFonts w:ascii="Calibri" w:cs="Calibri" w:eastAsia="Calibri" w:hAnsi="Calibri"/>
          <w:i w:val="1"/>
          <w:iCs w:val="1"/>
          <w:color w:val="5b6776"/>
          <w:sz w:val="19"/>
          <w:szCs w:val="19"/>
          <w:rtl w:val="0"/>
        </w:rPr>
        <w:t xml:space="preserve">In a group you can promise what you will do, but you cannot guarantee other participants' discretion; say so. A worked script is in Part D.</w:t>
      </w:r>
      <w:r w:rsidDel="00000000" w:rsidR="00000000" w:rsidRPr="00000000">
        <w:rPr>
          <w:rtl w:val="0"/>
        </w:rPr>
      </w:r>
    </w:p>
    <w:tbl>
      <w:tblPr>
        <w:tblStyle w:val="Table6"/>
        <w:tblW w:w="9020.0" w:type="dxa"/>
        <w:jc w:val="left"/>
        <w:tblBorders>
          <w:top w:color="e0a800" w:space="0" w:sz="4" w:val="single"/>
          <w:left w:color="e0a800" w:space="0" w:sz="24" w:val="single"/>
          <w:bottom w:color="e0a800" w:space="0" w:sz="4" w:val="single"/>
          <w:right w:color="e0a800"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fff7e6" w:val="clear"/>
            <w:tcMar>
              <w:top w:w="100.0" w:type="dxa"/>
              <w:left w:w="160.0" w:type="dxa"/>
              <w:bottom w:w="100.0" w:type="dxa"/>
              <w:right w:w="160.0" w:type="dxa"/>
            </w:tcMar>
          </w:tcPr>
          <w:p w:rsidR="00000000" w:rsidDel="00000000" w:rsidP="00000000" w:rsidRDefault="00000000" w:rsidRPr="00000000" w14:paraId="00000037">
            <w:pPr>
              <w:spacing w:after="40" w:lineRule="auto"/>
              <w:rPr/>
            </w:pPr>
            <w:r w:rsidDel="00000000" w:rsidR="00000000" w:rsidRPr="00000000">
              <w:rPr>
                <w:rFonts w:ascii="Calibri" w:cs="Calibri" w:eastAsia="Calibri" w:hAnsi="Calibri"/>
                <w:b w:val="1"/>
                <w:bCs w:val="1"/>
                <w:color w:val="8a6100"/>
                <w:sz w:val="17"/>
                <w:szCs w:val="17"/>
                <w:rtl w:val="0"/>
              </w:rPr>
              <w:t xml:space="preserve">COMMON MISTAKES</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Fonts w:ascii="Calibri" w:cs="Calibri" w:eastAsia="Calibri" w:hAnsi="Calibri"/>
                <w:color w:val="0f172a"/>
                <w:sz w:val="20"/>
                <w:szCs w:val="20"/>
                <w:rtl w:val="0"/>
              </w:rPr>
              <w:t xml:space="preserve">Promising full confidentiality in a group setting, which you cannot enforce.</w:t>
            </w:r>
            <w:r w:rsidDel="00000000" w:rsidR="00000000" w:rsidRPr="00000000">
              <w:rPr>
                <w:rtl w:val="0"/>
              </w:rPr>
            </w:r>
          </w:p>
        </w:tc>
      </w:tr>
    </w:tbl>
    <w:p w:rsidR="00000000" w:rsidDel="00000000" w:rsidP="00000000" w:rsidRDefault="00000000" w:rsidRPr="00000000" w14:paraId="00000039">
      <w:pPr>
        <w:pBdr>
          <w:bottom w:color="c9d2dd" w:space="2" w:sz="6" w:val="single"/>
        </w:pBdr>
        <w:spacing w:after="140" w:lineRule="auto"/>
        <w:rPr/>
      </w:pPr>
      <w:r w:rsidDel="00000000" w:rsidR="00000000" w:rsidRPr="00000000">
        <w:rPr>
          <w:rtl w:val="0"/>
        </w:rPr>
      </w:r>
    </w:p>
    <w:p w:rsidR="00000000" w:rsidDel="00000000" w:rsidP="00000000" w:rsidRDefault="00000000" w:rsidRPr="00000000" w14:paraId="0000003A">
      <w:pPr>
        <w:spacing w:after="60" w:before="240" w:lineRule="auto"/>
        <w:rPr/>
      </w:pPr>
      <w:r w:rsidDel="00000000" w:rsidR="00000000" w:rsidRPr="00000000">
        <w:rPr>
          <w:rFonts w:ascii="Calibri" w:cs="Calibri" w:eastAsia="Calibri" w:hAnsi="Calibri"/>
          <w:b w:val="1"/>
          <w:bCs w:val="1"/>
          <w:color w:val="152a49"/>
          <w:sz w:val="23"/>
          <w:szCs w:val="23"/>
          <w:rtl w:val="0"/>
        </w:rPr>
        <w:t xml:space="preserve">6.  The question route</w:t>
      </w:r>
      <w:r w:rsidDel="00000000" w:rsidR="00000000" w:rsidRPr="00000000">
        <w:rPr>
          <w:rtl w:val="0"/>
        </w:rPr>
      </w:r>
    </w:p>
    <w:p w:rsidR="00000000" w:rsidDel="00000000" w:rsidP="00000000" w:rsidRDefault="00000000" w:rsidRPr="00000000" w14:paraId="0000003B">
      <w:pPr>
        <w:spacing w:after="80" w:lineRule="auto"/>
        <w:rPr/>
      </w:pPr>
      <w:r w:rsidDel="00000000" w:rsidR="00000000" w:rsidRPr="00000000">
        <w:rPr>
          <w:rFonts w:ascii="Calibri" w:cs="Calibri" w:eastAsia="Calibri" w:hAnsi="Calibri"/>
          <w:b w:val="1"/>
          <w:bCs w:val="1"/>
          <w:color w:val="0c8a89"/>
          <w:sz w:val="20"/>
          <w:szCs w:val="20"/>
          <w:rtl w:val="0"/>
        </w:rPr>
        <w:t xml:space="preserve">What this section is for.  </w:t>
      </w:r>
      <w:r w:rsidDel="00000000" w:rsidR="00000000" w:rsidRPr="00000000">
        <w:rPr>
          <w:rFonts w:ascii="Calibri" w:cs="Calibri" w:eastAsia="Calibri" w:hAnsi="Calibri"/>
          <w:color w:val="0f172a"/>
          <w:sz w:val="20"/>
          <w:szCs w:val="20"/>
          <w:rtl w:val="0"/>
        </w:rPr>
        <w:t xml:space="preserve">The ordered set of questions, moving from easy and general to focused, then out again.</w:t>
      </w:r>
      <w:r w:rsidDel="00000000" w:rsidR="00000000" w:rsidRPr="00000000">
        <w:rPr>
          <w:rtl w:val="0"/>
        </w:rPr>
      </w:r>
    </w:p>
    <w:p w:rsidR="00000000" w:rsidDel="00000000" w:rsidP="00000000" w:rsidRDefault="00000000" w:rsidRPr="00000000" w14:paraId="0000003C">
      <w:pPr>
        <w:spacing w:after="100" w:lineRule="auto"/>
        <w:rPr/>
      </w:pPr>
      <w:r w:rsidDel="00000000" w:rsidR="00000000" w:rsidRPr="00000000">
        <w:rPr>
          <w:rFonts w:ascii="Calibri" w:cs="Calibri" w:eastAsia="Calibri" w:hAnsi="Calibri"/>
          <w:i w:val="1"/>
          <w:iCs w:val="1"/>
          <w:color w:val="5b6776"/>
          <w:sz w:val="19"/>
          <w:szCs w:val="19"/>
          <w:rtl w:val="0"/>
        </w:rPr>
        <w:t xml:space="preserve">Five stages: opening, introductory, transition, key, and ending. Most of your time goes on two or three key questions. Use the design principles in Part C2 and the worked route in Part D.</w:t>
      </w:r>
      <w:r w:rsidDel="00000000" w:rsidR="00000000" w:rsidRPr="00000000">
        <w:rPr>
          <w:rtl w:val="0"/>
        </w:rPr>
      </w:r>
    </w:p>
    <w:tbl>
      <w:tblPr>
        <w:tblStyle w:val="Table7"/>
        <w:tblW w:w="9020.0" w:type="dxa"/>
        <w:jc w:val="left"/>
        <w:tblBorders>
          <w:top w:color="1fae63" w:space="0" w:sz="4" w:val="single"/>
          <w:left w:color="1fae63" w:space="0" w:sz="24" w:val="single"/>
          <w:bottom w:color="1fae63" w:space="0" w:sz="4" w:val="single"/>
          <w:right w:color="1fae63" w:space="0" w:sz="4" w:val="single"/>
          <w:insideH w:color="000000" w:space="0" w:sz="4" w:val="single"/>
          <w:insideV w:color="000000" w:space="0" w:sz="4" w:val="single"/>
        </w:tblBorders>
        <w:tblLayout w:type="fixed"/>
        <w:tblLook w:val="0000"/>
      </w:tblPr>
      <w:tblGrid>
        <w:gridCol w:w="9020"/>
        <w:tblGridChange w:id="0">
          <w:tblGrid>
            <w:gridCol w:w="9020"/>
          </w:tblGrid>
        </w:tblGridChange>
      </w:tblGrid>
      <w:tr>
        <w:trPr>
          <w:cantSplit w:val="0"/>
          <w:tblHeader w:val="0"/>
        </w:trPr>
        <w:tc>
          <w:tcPr>
            <w:shd w:fill="eaf7ef" w:val="clear"/>
            <w:tcMar>
              <w:top w:w="100.0" w:type="dxa"/>
              <w:left w:w="160.0" w:type="dxa"/>
              <w:bottom w:w="100.0" w:type="dxa"/>
              <w:right w:w="160.0" w:type="dxa"/>
            </w:tcMar>
          </w:tcPr>
          <w:p w:rsidR="00000000" w:rsidDel="00000000" w:rsidP="00000000" w:rsidRDefault="00000000" w:rsidRPr="00000000" w14:paraId="0000003D">
            <w:pPr>
              <w:spacing w:after="40" w:lineRule="auto"/>
              <w:rPr/>
            </w:pPr>
            <w:r w:rsidDel="00000000" w:rsidR="00000000" w:rsidRPr="00000000">
              <w:rPr>
                <w:rFonts w:ascii="Calibri" w:cs="Calibri" w:eastAsia="Calibri" w:hAnsi="Calibri"/>
                <w:b w:val="1"/>
                <w:bCs w:val="1"/>
                <w:color w:val="14703f"/>
                <w:sz w:val="17"/>
                <w:szCs w:val="17"/>
                <w:rtl w:val="0"/>
              </w:rPr>
              <w:t xml:space="preserve">WHAT GOOD LOOKS LIKE</w:t>
            </w: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Fonts w:ascii="Calibri" w:cs="Calibri" w:eastAsia="Calibri" w:hAnsi="Calibri"/>
                <w:color w:val="0f172a"/>
                <w:sz w:val="20"/>
                <w:szCs w:val="20"/>
                <w:rtl w:val="0"/>
              </w:rPr>
              <w:t xml:space="preserve">Open questions that cannot be answered yes or no, each followed by planned probes.</w:t>
            </w:r>
            <w:r w:rsidDel="00000000" w:rsidR="00000000" w:rsidRPr="00000000">
              <w:rPr>
                <w:rtl w:val="0"/>
              </w:rPr>
            </w:r>
          </w:p>
        </w:tc>
      </w:tr>
      <w:tr>
        <w:trPr>
          <w:cantSplit w:val="0"/>
          <w:tblHeader w:val="0"/>
        </w:trPr>
        <w:tc>
          <w:tcPr>
            <w:shd w:fill="fff7e6" w:val="clear"/>
            <w:tcMar>
              <w:top w:w="100.0" w:type="dxa"/>
              <w:left w:w="160.0" w:type="dxa"/>
              <w:bottom w:w="100.0" w:type="dxa"/>
              <w:right w:w="160.0" w:type="dxa"/>
            </w:tcMar>
          </w:tcPr>
          <w:p w:rsidR="00000000" w:rsidDel="00000000" w:rsidP="00000000" w:rsidRDefault="00000000" w:rsidRPr="00000000" w14:paraId="0000003F">
            <w:pPr>
              <w:spacing w:after="40" w:lineRule="auto"/>
              <w:rPr/>
            </w:pPr>
            <w:r w:rsidDel="00000000" w:rsidR="00000000" w:rsidRPr="00000000">
              <w:rPr>
                <w:rFonts w:ascii="Calibri" w:cs="Calibri" w:eastAsia="Calibri" w:hAnsi="Calibri"/>
                <w:b w:val="1"/>
                <w:bCs w:val="1"/>
                <w:color w:val="8a6100"/>
                <w:sz w:val="17"/>
                <w:szCs w:val="17"/>
                <w:rtl w:val="0"/>
              </w:rPr>
              <w:t xml:space="preserve">COMMON MISTAKES</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Fonts w:ascii="Calibri" w:cs="Calibri" w:eastAsia="Calibri" w:hAnsi="Calibri"/>
                <w:color w:val="0f172a"/>
                <w:sz w:val="20"/>
                <w:szCs w:val="20"/>
                <w:rtl w:val="0"/>
              </w:rPr>
              <w:t xml:space="preserve">A list of yes/no questions, which produces a quiet room and thin notes.</w:t>
            </w:r>
            <w:r w:rsidDel="00000000" w:rsidR="00000000" w:rsidRPr="00000000">
              <w:rPr>
                <w:rtl w:val="0"/>
              </w:rPr>
            </w:r>
          </w:p>
        </w:tc>
      </w:tr>
    </w:tbl>
    <w:p>
      <w:r>
        <w:rPr>
          <w:i/>
          <w:color w:val="64748B"/>
          <w:sz w:val="18"/>
        </w:rPr>
        <w:t>— Sample ends here —  The full editable file (all sections, reference assets and a worked example) is delivered after purchase at impactmojo.in/products/fgd-guide/</w:t>
      </w:r>
    </w:p>
    <w:sectPr>
      <w:headerReference r:id="rId7" w:type="default"/>
      <w:headerReference r:id="rId8" w:type="first"/>
      <w:footerReference r:id="rId9" w:type="default"/>
      <w:footerReference r:id="rId10"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pBdr>
        <w:top w:color="c9d2dd" w:space="4" w:sz="6" w:val="single"/>
      </w:pBdr>
      <w:tabs>
        <w:tab w:val="right" w:leader="none" w:pos="9026"/>
      </w:tabs>
      <w:spacing w:before="60" w:lineRule="auto"/>
      <w:rPr/>
    </w:pPr>
    <w:r w:rsidDel="00000000" w:rsidR="00000000" w:rsidRPr="00000000">
      <w:rPr>
        <w:rFonts w:ascii="Calibri" w:cs="Calibri" w:eastAsia="Calibri" w:hAnsi="Calibri"/>
        <w:color w:val="5b6776"/>
        <w:sz w:val="15"/>
        <w:szCs w:val="15"/>
        <w:rtl w:val="0"/>
      </w:rPr>
      <w:t xml:space="preserve">© 2026 ImpactMojo · CC BY-NC-ND 4.0 · impactmojo.inPage </w:t>
    </w:r>
    <w:r w:rsidDel="00000000" w:rsidR="00000000" w:rsidRPr="00000000">
      <w:rPr>
        <w:rFonts w:ascii="Calibri" w:cs="Calibri" w:eastAsia="Calibri" w:hAnsi="Calibri"/>
        <w:color w:val="5b6776"/>
        <w:sz w:val="15"/>
        <w:szCs w:val="15"/>
      </w:rPr>
      <w:fldChar w:fldCharType="begin"/>
      <w:instrText xml:space="preserve">PAGE</w:instrText>
      <w:fldChar w:fldCharType="separate"/>
      <w:fldChar w:fldCharType="end"/>
    </w:r>
    <w:r w:rsidDel="00000000" w:rsidR="00000000" w:rsidRPr="00000000">
      <w:rPr>
        <w:rFonts w:ascii="Calibri" w:cs="Calibri" w:eastAsia="Calibri" w:hAnsi="Calibri"/>
        <w:color w:val="5b6776"/>
        <w:sz w:val="15"/>
        <w:szCs w:val="15"/>
        <w:rtl w:val="0"/>
      </w:rPr>
      <w:t xml:space="preserve"> of </w:t>
    </w:r>
    <w:r w:rsidDel="00000000" w:rsidR="00000000" w:rsidRPr="00000000">
      <w:rPr>
        <w:rFonts w:ascii="Calibri" w:cs="Calibri" w:eastAsia="Calibri" w:hAnsi="Calibri"/>
        <w:color w:val="5b6776"/>
        <w:sz w:val="15"/>
        <w:szCs w:val="15"/>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pBdr>
        <w:top w:color="c9d2dd" w:space="4" w:sz="6" w:val="single"/>
      </w:pBdr>
      <w:tabs>
        <w:tab w:val="right" w:leader="none" w:pos="9026"/>
      </w:tabs>
      <w:spacing w:before="60" w:lineRule="auto"/>
      <w:rPr/>
    </w:pPr>
    <w:r w:rsidDel="00000000" w:rsidR="00000000" w:rsidRPr="00000000">
      <w:rPr>
        <w:rFonts w:ascii="Calibri" w:cs="Calibri" w:eastAsia="Calibri" w:hAnsi="Calibri"/>
        <w:color w:val="5b6776"/>
        <w:sz w:val="15"/>
        <w:szCs w:val="15"/>
        <w:rtl w:val="0"/>
      </w:rPr>
      <w:t xml:space="preserve">© 2026 ImpactMojo · CC BY-NC-ND 4.0 · impactmojo.inPage </w:t>
    </w:r>
    <w:r w:rsidDel="00000000" w:rsidR="00000000" w:rsidRPr="00000000">
      <w:rPr>
        <w:rFonts w:ascii="Calibri" w:cs="Calibri" w:eastAsia="Calibri" w:hAnsi="Calibri"/>
        <w:color w:val="5b6776"/>
        <w:sz w:val="15"/>
        <w:szCs w:val="15"/>
      </w:rPr>
      <w:fldChar w:fldCharType="begin"/>
      <w:instrText xml:space="preserve">PAGE</w:instrText>
      <w:fldChar w:fldCharType="separate"/>
      <w:fldChar w:fldCharType="end"/>
    </w:r>
    <w:r w:rsidDel="00000000" w:rsidR="00000000" w:rsidRPr="00000000">
      <w:rPr>
        <w:rFonts w:ascii="Calibri" w:cs="Calibri" w:eastAsia="Calibri" w:hAnsi="Calibri"/>
        <w:color w:val="5b6776"/>
        <w:sz w:val="15"/>
        <w:szCs w:val="15"/>
        <w:rtl w:val="0"/>
      </w:rPr>
      <w:t xml:space="preserve"> of </w:t>
    </w:r>
    <w:r w:rsidDel="00000000" w:rsidR="00000000" w:rsidRPr="00000000">
      <w:rPr>
        <w:rFonts w:ascii="Calibri" w:cs="Calibri" w:eastAsia="Calibri" w:hAnsi="Calibri"/>
        <w:color w:val="5b6776"/>
        <w:sz w:val="15"/>
        <w:szCs w:val="15"/>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6"/>
      <w:tblW w:w="9020.0" w:type="dxa"/>
      <w:jc w:val="left"/>
      <w:tblBorders>
        <w:top w:color="000000" w:space="0" w:sz="0" w:val="nil"/>
        <w:left w:color="000000" w:space="0" w:sz="0" w:val="nil"/>
        <w:bottom w:color="0c8a89" w:space="0" w:sz="8" w:val="single"/>
        <w:right w:color="000000" w:space="0" w:sz="0" w:val="nil"/>
        <w:insideH w:color="000000" w:space="0" w:sz="0" w:val="nil"/>
        <w:insideV w:color="000000" w:space="0" w:sz="0" w:val="nil"/>
      </w:tblBorders>
      <w:tblLayout w:type="fixed"/>
      <w:tblLook w:val="0000"/>
    </w:tblPr>
    <w:tblGrid>
      <w:gridCol w:w="620"/>
      <w:gridCol w:w="8400"/>
      <w:tblGridChange w:id="0">
        <w:tblGrid>
          <w:gridCol w:w="620"/>
          <w:gridCol w:w="8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0.0" w:type="dxa"/>
            <w:bottom w:w="60.0" w:type="dxa"/>
            <w:right w:w="80.0" w:type="dxa"/>
          </w:tcMar>
          <w:vAlign w:val="center"/>
        </w:tcPr>
        <w:p w:rsidR="00000000" w:rsidDel="00000000" w:rsidP="00000000" w:rsidRDefault="00000000" w:rsidRPr="00000000" w14:paraId="000000BC">
          <w:pPr>
            <w:rPr/>
          </w:pPr>
          <w:r w:rsidDel="00000000" w:rsidR="00000000" w:rsidRPr="00000000">
            <w:rPr/>
            <w:drawing>
              <wp:inline distB="0" distT="0" distL="0" distR="0">
                <wp:extent cx="285750" cy="285750"/>
                <wp:effectExtent b="0" l="0" r="0" t="0"/>
                <wp:docPr descr="mark" id="2" name="image2.png"/>
                <a:graphic>
                  <a:graphicData uri="http://schemas.openxmlformats.org/drawingml/2006/picture">
                    <pic:pic>
                      <pic:nvPicPr>
                        <pic:cNvPr descr="mark" id="0" name="image2.png"/>
                        <pic:cNvPicPr preferRelativeResize="0"/>
                      </pic:nvPicPr>
                      <pic:blipFill>
                        <a:blip r:embed="rId1"/>
                        <a:srcRect b="0" l="0" r="0" t="0"/>
                        <a:stretch>
                          <a:fillRect/>
                        </a:stretch>
                      </pic:blipFill>
                      <pic:spPr>
                        <a:xfrm>
                          <a:off x="0" y="0"/>
                          <a:ext cx="285750" cy="2857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60.0" w:type="dxa"/>
            <w:right w:w="0.0" w:type="dxa"/>
          </w:tcMar>
          <w:vAlign w:val="center"/>
        </w:tcPr>
        <w:p w:rsidR="00000000" w:rsidDel="00000000" w:rsidP="00000000" w:rsidRDefault="00000000" w:rsidRPr="00000000" w14:paraId="000000BD">
          <w:pPr>
            <w:tabs>
              <w:tab w:val="right" w:leader="none" w:pos="9026"/>
            </w:tabs>
            <w:rPr/>
          </w:pPr>
          <w:r w:rsidDel="00000000" w:rsidR="00000000" w:rsidRPr="00000000">
            <w:rPr>
              <w:rFonts w:ascii="Calibri" w:cs="Calibri" w:eastAsia="Calibri" w:hAnsi="Calibri"/>
              <w:b w:val="1"/>
              <w:bCs w:val="1"/>
              <w:color w:val="152a49"/>
              <w:sz w:val="18"/>
              <w:szCs w:val="18"/>
              <w:rtl w:val="0"/>
            </w:rPr>
            <w:t xml:space="preserve">ImpactMojo</w:t>
          </w:r>
          <w:r w:rsidDel="00000000" w:rsidR="00000000" w:rsidRPr="00000000">
            <w:rPr>
              <w:rFonts w:ascii="Calibri" w:cs="Calibri" w:eastAsia="Calibri" w:hAnsi="Calibri"/>
              <w:color w:val="5b6776"/>
              <w:sz w:val="18"/>
              <w:szCs w:val="18"/>
              <w:rtl w:val="0"/>
            </w:rPr>
            <w:t xml:space="preserve">   ·   FGD Facilitator’s Guide · Pack</w:t>
          </w:r>
          <w:r w:rsidDel="00000000" w:rsidR="00000000" w:rsidRPr="00000000">
            <w:rPr>
              <w:rFonts w:ascii="Calibri" w:cs="Calibri" w:eastAsia="Calibri" w:hAnsi="Calibri"/>
              <w:color w:val="aebdcc"/>
              <w:sz w:val="16"/>
              <w:szCs w:val="16"/>
              <w:rtl w:val="0"/>
            </w:rPr>
            <w:t xml:space="preserve">Development Know-How</w:t>
          </w:r>
          <w:r w:rsidDel="00000000" w:rsidR="00000000" w:rsidRPr="00000000">
            <w:rPr>
              <w:rtl w:val="0"/>
            </w:rPr>
          </w:r>
        </w:p>
      </w:tc>
    </w:tr>
  </w:tbl>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0f172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f172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