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r>
        <w:rPr>
          <w:b/>
          <w:color w:val="0369A1"/>
          <w:sz w:val="20"/>
        </w:rPr>
        <w:t>●  SAMPLE — preview only. Not licensed for use. Buy the full editable file at impactmojo.in/products/survey-instrument/</w:t>
      </w: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0"/>
        <w:tblGridChange w:id="0">
          <w:tblGrid>
            <w:gridCol w:w="9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2a49" w:val="clear"/>
            <w:tcMar>
              <w:top w:w="360.0" w:type="dxa"/>
              <w:left w:w="240.0" w:type="dxa"/>
              <w:bottom w:w="360.0" w:type="dxa"/>
              <w:right w:w="240.0" w:type="dxa"/>
            </w:tcMar>
          </w:tcPr>
          <w:p w:rsidR="00000000" w:rsidDel="00000000" w:rsidP="00000000" w:rsidRDefault="00000000" w:rsidRPr="00000000" w14:paraId="00000002">
            <w:pPr>
              <w:spacing w:after="16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866900" cy="1457325"/>
                  <wp:effectExtent b="0" l="0" r="0" t="0"/>
                  <wp:docPr descr="logo" id="1" name="image2.jpg"/>
                  <a:graphic>
                    <a:graphicData uri="http://schemas.openxmlformats.org/drawingml/2006/picture">
                      <pic:pic>
                        <pic:nvPicPr>
                          <pic:cNvPr descr="logo" id="0" name="image2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1457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Survey Instrument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dbeb6"/>
                <w:sz w:val="22"/>
                <w:szCs w:val="22"/>
                <w:rtl w:val="0"/>
              </w:rPr>
              <w:t xml:space="preserve">The complete pack: annotated questionnaire, question-type and scale references, a traps bank, India demographic standards and a worked instrument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ebdcc"/>
                <w:sz w:val="17"/>
                <w:szCs w:val="17"/>
                <w:rtl w:val="0"/>
              </w:rPr>
              <w:t xml:space="preserve">Template · DOCX · ₹199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40" w:before="1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b6776"/>
          <w:sz w:val="18"/>
          <w:szCs w:val="18"/>
          <w:rtl w:val="0"/>
        </w:rPr>
        <w:t xml:space="preserve">Version 2.0   ·   June 2026   ·   Part of the Evaluation Essentials Kit</w:t>
      </w:r>
      <w:r w:rsidDel="00000000" w:rsidR="00000000" w:rsidRPr="00000000">
        <w:rPr>
          <w:rtl w:val="0"/>
        </w:rPr>
      </w:r>
    </w:p>
    <w:tbl>
      <w:tblPr>
        <w:tblStyle w:val="Table2"/>
        <w:tblW w:w="9020.0" w:type="dxa"/>
        <w:jc w:val="left"/>
        <w:tblBorders>
          <w:top w:color="0c8a89" w:space="0" w:sz="4" w:val="single"/>
          <w:left w:color="0c8a89" w:space="0" w:sz="24" w:val="single"/>
          <w:bottom w:color="0c8a89" w:space="0" w:sz="4" w:val="single"/>
          <w:right w:color="0c8a8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0"/>
        <w:tblGridChange w:id="0">
          <w:tblGrid>
            <w:gridCol w:w="9020"/>
          </w:tblGrid>
        </w:tblGridChange>
      </w:tblGrid>
      <w:tr>
        <w:trPr>
          <w:cantSplit w:val="0"/>
          <w:tblHeader w:val="0"/>
        </w:trPr>
        <w:tc>
          <w:tcPr>
            <w:shd w:fill="eaf6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c8a89"/>
                <w:sz w:val="17"/>
                <w:szCs w:val="17"/>
                <w:rtl w:val="0"/>
              </w:rPr>
              <w:t xml:space="preserve">WHAT IS INSIDE THIS PACK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Part A. Where survey error comes from, and how to stop it at the writing stage.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Part B. The annotated questionnaire, section by section, with guidance, what good looks like, the mistakes to avoid, and space to build.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Part C. Reference assets: a question-type chooser, a response-scale reference, an expanded traps bank, India-standard demographic items, a cognitive-testing protocol, translation and coding conventions, a glossary, and sources.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Part D. A worked instrument: consent, profile and a full thematic module for a maternal and newborn health study.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b6776"/>
          <w:sz w:val="19"/>
          <w:szCs w:val="19"/>
          <w:rtl w:val="0"/>
        </w:rPr>
        <w:t xml:space="preserve">Most survey error is built in when the questions are written, not in the field. This pack puts the discipline up front.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c8a89"/>
          <w:sz w:val="18"/>
          <w:szCs w:val="18"/>
          <w:rtl w:val="0"/>
        </w:rPr>
        <w:t xml:space="preserve">PART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152a49" w:space="5" w:sz="14" w:val="single"/>
        </w:pBd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52a49"/>
          <w:sz w:val="32"/>
          <w:szCs w:val="32"/>
          <w:rtl w:val="0"/>
        </w:rPr>
        <w:t xml:space="preserve">Where survey error comes from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21"/>
          <w:szCs w:val="21"/>
          <w:rtl w:val="0"/>
        </w:rPr>
        <w:t xml:space="preserve">A survey estimate can be wrong for two broad reasons. Sampling error comes from studying a part rather than the whole, and shrinks as the sample grows. Measurement error comes from the questions themselves: items that ask two things at once, lead the respondent, strain memory, or invite the socially acceptable answer. Sampling error is visible and quantifiable; measurement error hides inside clean-looking data. This pack targets the second, because it is the larger and the more neglected.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c8a89"/>
          <w:sz w:val="18"/>
          <w:szCs w:val="18"/>
          <w:rtl w:val="0"/>
        </w:rPr>
        <w:t xml:space="preserve">PART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152a49" w:space="5" w:sz="14" w:val="single"/>
        </w:pBd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52a49"/>
          <w:sz w:val="32"/>
          <w:szCs w:val="32"/>
          <w:rtl w:val="0"/>
        </w:rPr>
        <w:t xml:space="preserve">The annotated questionnaire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52a49"/>
          <w:sz w:val="23"/>
          <w:szCs w:val="23"/>
          <w:rtl w:val="0"/>
        </w:rPr>
        <w:t xml:space="preserve">1.  Cover and identifiers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c8a89"/>
          <w:sz w:val="20"/>
          <w:szCs w:val="20"/>
          <w:rtl w:val="0"/>
        </w:rPr>
        <w:t xml:space="preserve">What this section is for.  </w:t>
      </w:r>
      <w:r w:rsidDel="00000000" w:rsidR="00000000" w:rsidRPr="00000000">
        <w:rPr>
          <w:rFonts w:ascii="Calibri" w:cs="Calibri" w:eastAsia="Calibri" w:hAnsi="Calibri"/>
          <w:color w:val="0f172a"/>
          <w:sz w:val="20"/>
          <w:szCs w:val="20"/>
          <w:rtl w:val="0"/>
        </w:rPr>
        <w:t xml:space="preserve">The administrative spine: who, where, when, and a unique ID that ties the record to its place and enumerator.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b6776"/>
          <w:sz w:val="19"/>
          <w:szCs w:val="19"/>
          <w:rtl w:val="0"/>
        </w:rPr>
        <w:t xml:space="preserve">Keep identifiers separate from personal names; the ID, not the name, travels with the data.</w:t>
      </w:r>
      <w:r w:rsidDel="00000000" w:rsidR="00000000" w:rsidRPr="00000000">
        <w:rPr>
          <w:rtl w:val="0"/>
        </w:rPr>
      </w:r>
    </w:p>
    <w:tbl>
      <w:tblPr>
        <w:tblStyle w:val="Table3"/>
        <w:tblW w:w="9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0"/>
        <w:tblGridChange w:id="0">
          <w:tblGrid>
            <w:gridCol w:w="3400"/>
            <w:gridCol w:w="56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152a4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152a49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18"/>
                <w:szCs w:val="18"/>
                <w:rtl w:val="0"/>
              </w:rPr>
              <w:t xml:space="preserve">Questionnaire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18"/>
                <w:szCs w:val="18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2f6f8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18"/>
                <w:szCs w:val="18"/>
                <w:rtl w:val="0"/>
              </w:rPr>
              <w:t xml:space="preserve">Date (DD/MM/YYYY)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2f6f8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18"/>
                <w:szCs w:val="18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18"/>
                <w:szCs w:val="18"/>
                <w:rtl w:val="0"/>
              </w:rPr>
              <w:t xml:space="preserve">Enumerator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18"/>
                <w:szCs w:val="18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2f6f8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18"/>
                <w:szCs w:val="18"/>
                <w:rtl w:val="0"/>
              </w:rPr>
              <w:t xml:space="preserve">State / district / village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2f6f8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18"/>
                <w:szCs w:val="18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18"/>
                <w:szCs w:val="18"/>
                <w:rtl w:val="0"/>
              </w:rPr>
              <w:t xml:space="preserve">Start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2dd" w:space="0" w:sz="4" w:val="single"/>
              <w:left w:color="c9d2dd" w:space="0" w:sz="4" w:val="single"/>
              <w:bottom w:color="c9d2dd" w:space="0" w:sz="4" w:val="single"/>
              <w:right w:color="c9d2dd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18"/>
                <w:szCs w:val="18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52a49"/>
          <w:sz w:val="23"/>
          <w:szCs w:val="23"/>
          <w:rtl w:val="0"/>
        </w:rPr>
        <w:t xml:space="preserve">2.  Informed consent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c8a89"/>
          <w:sz w:val="20"/>
          <w:szCs w:val="20"/>
          <w:rtl w:val="0"/>
        </w:rPr>
        <w:t xml:space="preserve">What this section is for.  </w:t>
      </w:r>
      <w:r w:rsidDel="00000000" w:rsidR="00000000" w:rsidRPr="00000000">
        <w:rPr>
          <w:rFonts w:ascii="Calibri" w:cs="Calibri" w:eastAsia="Calibri" w:hAnsi="Calibri"/>
          <w:color w:val="0f172a"/>
          <w:sz w:val="20"/>
          <w:szCs w:val="20"/>
          <w:rtl w:val="0"/>
        </w:rPr>
        <w:t xml:space="preserve">Read aloud before any question. It secures permission and sets expectations.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b6776"/>
          <w:sz w:val="19"/>
          <w:szCs w:val="19"/>
          <w:rtl w:val="0"/>
        </w:rPr>
        <w:t xml:space="preserve">Cover who you are, why, how long, confidentiality, the voluntary nature, and the right to stop. A worked script is in Part D.</w:t>
      </w:r>
      <w:r w:rsidDel="00000000" w:rsidR="00000000" w:rsidRPr="00000000">
        <w:rPr>
          <w:rtl w:val="0"/>
        </w:rPr>
      </w:r>
    </w:p>
    <w:tbl>
      <w:tblPr>
        <w:tblStyle w:val="Table4"/>
        <w:tblW w:w="9020.0" w:type="dxa"/>
        <w:jc w:val="left"/>
        <w:tblBorders>
          <w:top w:color="1fae63" w:space="0" w:sz="4" w:val="single"/>
          <w:left w:color="1fae63" w:space="0" w:sz="24" w:val="single"/>
          <w:bottom w:color="1fae63" w:space="0" w:sz="4" w:val="single"/>
          <w:right w:color="1fae63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0"/>
        <w:tblGridChange w:id="0">
          <w:tblGrid>
            <w:gridCol w:w="9020"/>
          </w:tblGrid>
        </w:tblGridChange>
      </w:tblGrid>
      <w:tr>
        <w:trPr>
          <w:cantSplit w:val="0"/>
          <w:tblHeader w:val="0"/>
        </w:trPr>
        <w:tc>
          <w:tcPr>
            <w:shd w:fill="eaf7e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703f"/>
                <w:sz w:val="17"/>
                <w:szCs w:val="17"/>
                <w:rtl w:val="0"/>
              </w:rPr>
              <w:t xml:space="preserve">WHAT GOOD LOOKS LIKE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The script states that taking part is voluntary and that skipping or stopping carries no penalty, in plain language.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7e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8a6100"/>
                <w:sz w:val="17"/>
                <w:szCs w:val="17"/>
                <w:rtl w:val="0"/>
              </w:rPr>
              <w:t xml:space="preserve">COMMON MISTAKES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A consent line so dense or formal that the respondent agrees without understanding 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Bdr>
          <w:bottom w:color="c9d2dd" w:space="2" w:sz="6" w:val="single"/>
        </w:pBd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52a49"/>
          <w:sz w:val="23"/>
          <w:szCs w:val="23"/>
          <w:rtl w:val="0"/>
        </w:rPr>
        <w:t xml:space="preserve">3.  Respondent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c8a89"/>
          <w:sz w:val="20"/>
          <w:szCs w:val="20"/>
          <w:rtl w:val="0"/>
        </w:rPr>
        <w:t xml:space="preserve">What this section is for.  </w:t>
      </w:r>
      <w:r w:rsidDel="00000000" w:rsidR="00000000" w:rsidRPr="00000000">
        <w:rPr>
          <w:rFonts w:ascii="Calibri" w:cs="Calibri" w:eastAsia="Calibri" w:hAnsi="Calibri"/>
          <w:color w:val="0f172a"/>
          <w:sz w:val="20"/>
          <w:szCs w:val="20"/>
          <w:rtl w:val="0"/>
        </w:rPr>
        <w:t xml:space="preserve">The demographic items you will disaggregate by. Decide these from your analysis plan, not by habit.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b6776"/>
          <w:sz w:val="19"/>
          <w:szCs w:val="19"/>
          <w:rtl w:val="0"/>
        </w:rPr>
        <w:t xml:space="preserve">Use the India-standard items in Part C4 so your categories match national data and can be benchmarked.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52a49"/>
          <w:sz w:val="23"/>
          <w:szCs w:val="23"/>
          <w:rtl w:val="0"/>
        </w:rPr>
        <w:t xml:space="preserve">4.  Core thematic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c8a89"/>
          <w:sz w:val="20"/>
          <w:szCs w:val="20"/>
          <w:rtl w:val="0"/>
        </w:rPr>
        <w:t xml:space="preserve">What this section is for.  </w:t>
      </w:r>
      <w:r w:rsidDel="00000000" w:rsidR="00000000" w:rsidRPr="00000000">
        <w:rPr>
          <w:rFonts w:ascii="Calibri" w:cs="Calibri" w:eastAsia="Calibri" w:hAnsi="Calibri"/>
          <w:color w:val="0f172a"/>
          <w:sz w:val="20"/>
          <w:szCs w:val="20"/>
          <w:rtl w:val="0"/>
        </w:rPr>
        <w:t xml:space="preserve">One module per outcome you are measuring, each a tight set of items with full response options shown.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b6776"/>
          <w:sz w:val="19"/>
          <w:szCs w:val="19"/>
          <w:rtl w:val="0"/>
        </w:rPr>
        <w:t xml:space="preserve">Number items so skip logic is unambiguous. Build each module the way the worked example in Part D is built. Use the question-type chooser (C1) and scale reference (C2).</w:t>
      </w:r>
      <w:r w:rsidDel="00000000" w:rsidR="00000000" w:rsidRPr="00000000">
        <w:rPr>
          <w:rtl w:val="0"/>
        </w:rPr>
      </w:r>
    </w:p>
    <w:tbl>
      <w:tblPr>
        <w:tblStyle w:val="Table5"/>
        <w:tblW w:w="9020.0" w:type="dxa"/>
        <w:jc w:val="left"/>
        <w:tblBorders>
          <w:top w:color="1fae63" w:space="0" w:sz="4" w:val="single"/>
          <w:left w:color="1fae63" w:space="0" w:sz="24" w:val="single"/>
          <w:bottom w:color="1fae63" w:space="0" w:sz="4" w:val="single"/>
          <w:right w:color="1fae63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0"/>
        <w:tblGridChange w:id="0">
          <w:tblGrid>
            <w:gridCol w:w="9020"/>
          </w:tblGrid>
        </w:tblGridChange>
      </w:tblGrid>
      <w:tr>
        <w:trPr>
          <w:cantSplit w:val="0"/>
          <w:tblHeader w:val="0"/>
        </w:trPr>
        <w:tc>
          <w:tcPr>
            <w:shd w:fill="eaf7e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0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703f"/>
                <w:sz w:val="17"/>
                <w:szCs w:val="17"/>
                <w:rtl w:val="0"/>
              </w:rPr>
              <w:t xml:space="preserve">WHAT GOOD LOOKS LIKE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Each module opens with a screening item that routes ineligible respondents out, then asks one idea per question.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7e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8a6100"/>
                <w:sz w:val="17"/>
                <w:szCs w:val="17"/>
                <w:rtl w:val="0"/>
              </w:rPr>
              <w:t xml:space="preserve">COMMON MISTAKES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f172a"/>
                <w:sz w:val="20"/>
                <w:szCs w:val="20"/>
                <w:rtl w:val="0"/>
              </w:rPr>
              <w:t xml:space="preserve">A module that switches scale direction halfway, so agree-disagree flips and the data is quietly corrupted.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Bdr>
          <w:bottom w:color="c9d2dd" w:space="2" w:sz="6" w:val="single"/>
        </w:pBd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52a49"/>
          <w:sz w:val="23"/>
          <w:szCs w:val="23"/>
          <w:rtl w:val="0"/>
        </w:rPr>
        <w:t xml:space="preserve">5.  Skip logic and enumerator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c8a89"/>
          <w:sz w:val="20"/>
          <w:szCs w:val="20"/>
          <w:rtl w:val="0"/>
        </w:rPr>
        <w:t xml:space="preserve">What this section is for.  </w:t>
      </w:r>
      <w:r w:rsidDel="00000000" w:rsidR="00000000" w:rsidRPr="00000000">
        <w:rPr>
          <w:rFonts w:ascii="Calibri" w:cs="Calibri" w:eastAsia="Calibri" w:hAnsi="Calibri"/>
          <w:color w:val="0f172a"/>
          <w:sz w:val="20"/>
          <w:szCs w:val="20"/>
          <w:rtl w:val="0"/>
        </w:rPr>
        <w:t xml:space="preserve">The routing and the spoken instructions that keep administration consistent across enumerators.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b6776"/>
          <w:sz w:val="19"/>
          <w:szCs w:val="19"/>
          <w:rtl w:val="0"/>
        </w:rPr>
        <w:t xml:space="preserve">Write skips as explicit arrows ('if No, go to D4'). Put interviewer instructions in a distinct style so they are never read aloud.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52a49"/>
          <w:sz w:val="23"/>
          <w:szCs w:val="23"/>
          <w:rtl w:val="0"/>
        </w:rPr>
        <w:t xml:space="preserve">6.  Close and observations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c8a89"/>
          <w:sz w:val="20"/>
          <w:szCs w:val="20"/>
          <w:rtl w:val="0"/>
        </w:rPr>
        <w:t xml:space="preserve">What this section is for.  </w:t>
      </w:r>
      <w:r w:rsidDel="00000000" w:rsidR="00000000" w:rsidRPr="00000000">
        <w:rPr>
          <w:rFonts w:ascii="Calibri" w:cs="Calibri" w:eastAsia="Calibri" w:hAnsi="Calibri"/>
          <w:color w:val="0f172a"/>
          <w:sz w:val="20"/>
          <w:szCs w:val="20"/>
          <w:rtl w:val="0"/>
        </w:rPr>
        <w:t xml:space="preserve">A clean ending and a space for the enumerator to flag anything the data will not show.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52a49"/>
          <w:sz w:val="21"/>
          <w:szCs w:val="21"/>
          <w:rtl w:val="0"/>
        </w:rPr>
        <w:t xml:space="preserve">Enumerator observations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c9d2dd" w:space="2" w:sz="6" w:val="single"/>
        </w:pBd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c8a89"/>
          <w:sz w:val="18"/>
          <w:szCs w:val="18"/>
          <w:rtl w:val="0"/>
        </w:rPr>
        <w:t xml:space="preserve">PART C</w:t>
      </w:r>
      <w:r w:rsidDel="00000000" w:rsidR="00000000" w:rsidRPr="00000000">
        <w:rPr>
          <w:rtl w:val="0"/>
        </w:rPr>
      </w:r>
    </w:p>
    <w:p>
      <w:r>
        <w:rPr>
          <w:i/>
          <w:color w:val="64748B"/>
          <w:sz w:val="18"/>
        </w:rPr>
        <w:t>— Sample ends here —  The full editable file (all sections, reference assets and a worked example) is delivered after purchase at impactmojo.in/products/survey-instrument/</w:t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440" w:top="1440" w:left="1440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pBdr>
        <w:top w:color="c9d2dd" w:space="4" w:sz="6" w:val="single"/>
      </w:pBdr>
      <w:tabs>
        <w:tab w:val="right" w:leader="none" w:pos="9026"/>
      </w:tabs>
      <w:spacing w:before="60" w:lineRule="auto"/>
      <w:rPr/>
    </w:pPr>
    <w:r w:rsidDel="00000000" w:rsidR="00000000" w:rsidRPr="00000000">
      <w:rPr>
        <w:rFonts w:ascii="Calibri" w:cs="Calibri" w:eastAsia="Calibri" w:hAnsi="Calibri"/>
        <w:color w:val="5b6776"/>
        <w:sz w:val="15"/>
        <w:szCs w:val="15"/>
        <w:rtl w:val="0"/>
      </w:rPr>
      <w:t xml:space="preserve">© 2026 ImpactMojo · CC BY-NC-ND 4.0 · impactmojo.inPage </w:t>
    </w:r>
    <w:r w:rsidDel="00000000" w:rsidR="00000000" w:rsidRPr="00000000">
      <w:rPr>
        <w:rFonts w:ascii="Calibri" w:cs="Calibri" w:eastAsia="Calibri" w:hAnsi="Calibri"/>
        <w:color w:val="5b6776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5b6776"/>
        <w:sz w:val="15"/>
        <w:szCs w:val="15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color w:val="5b6776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pBdr>
        <w:top w:color="c9d2dd" w:space="4" w:sz="6" w:val="single"/>
      </w:pBdr>
      <w:tabs>
        <w:tab w:val="right" w:leader="none" w:pos="9026"/>
      </w:tabs>
      <w:spacing w:before="60" w:lineRule="auto"/>
      <w:rPr/>
    </w:pPr>
    <w:r w:rsidDel="00000000" w:rsidR="00000000" w:rsidRPr="00000000">
      <w:rPr>
        <w:rFonts w:ascii="Calibri" w:cs="Calibri" w:eastAsia="Calibri" w:hAnsi="Calibri"/>
        <w:color w:val="5b6776"/>
        <w:sz w:val="15"/>
        <w:szCs w:val="15"/>
        <w:rtl w:val="0"/>
      </w:rPr>
      <w:t xml:space="preserve">© 2026 ImpactMojo · CC BY-NC-ND 4.0 · impactmojo.inPage </w:t>
    </w:r>
    <w:r w:rsidDel="00000000" w:rsidR="00000000" w:rsidRPr="00000000">
      <w:rPr>
        <w:rFonts w:ascii="Calibri" w:cs="Calibri" w:eastAsia="Calibri" w:hAnsi="Calibri"/>
        <w:color w:val="5b6776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5b6776"/>
        <w:sz w:val="15"/>
        <w:szCs w:val="15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color w:val="5b6776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5"/>
      <w:tblW w:w="9020.0" w:type="dxa"/>
      <w:jc w:val="left"/>
      <w:tblBorders>
        <w:top w:color="000000" w:space="0" w:sz="0" w:val="nil"/>
        <w:left w:color="000000" w:space="0" w:sz="0" w:val="nil"/>
        <w:bottom w:color="0c8a89" w:space="0" w:sz="8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620"/>
      <w:gridCol w:w="8400"/>
      <w:tblGridChange w:id="0">
        <w:tblGrid>
          <w:gridCol w:w="620"/>
          <w:gridCol w:w="840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20.0" w:type="dxa"/>
            <w:left w:w="0.0" w:type="dxa"/>
            <w:bottom w:w="60.0" w:type="dxa"/>
            <w:right w:w="80.0" w:type="dxa"/>
          </w:tcMar>
          <w:vAlign w:val="center"/>
        </w:tcPr>
        <w:p w:rsidR="00000000" w:rsidDel="00000000" w:rsidP="00000000" w:rsidRDefault="00000000" w:rsidRPr="00000000" w14:paraId="000000D9">
          <w:pPr>
            <w:rPr/>
          </w:pPr>
          <w:r w:rsidDel="00000000" w:rsidR="00000000" w:rsidRPr="00000000">
            <w:rPr/>
            <w:drawing>
              <wp:inline distB="0" distT="0" distL="0" distR="0">
                <wp:extent cx="285750" cy="285750"/>
                <wp:effectExtent b="0" l="0" r="0" t="0"/>
                <wp:docPr descr="mark" id="2" name="image1.png"/>
                <a:graphic>
                  <a:graphicData uri="http://schemas.openxmlformats.org/drawingml/2006/picture">
                    <pic:pic>
                      <pic:nvPicPr>
                        <pic:cNvPr descr="mark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20.0" w:type="dxa"/>
            <w:left w:w="0.0" w:type="dxa"/>
            <w:bottom w:w="60.0" w:type="dxa"/>
            <w:right w:w="0.0" w:type="dxa"/>
          </w:tcMar>
          <w:vAlign w:val="center"/>
        </w:tcPr>
        <w:p w:rsidR="00000000" w:rsidDel="00000000" w:rsidP="00000000" w:rsidRDefault="00000000" w:rsidRPr="00000000" w14:paraId="000000DA">
          <w:pPr>
            <w:tabs>
              <w:tab w:val="right" w:leader="none" w:pos="9026"/>
            </w:tabs>
            <w:rPr/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color w:val="152a49"/>
              <w:sz w:val="18"/>
              <w:szCs w:val="18"/>
              <w:rtl w:val="0"/>
            </w:rPr>
            <w:t xml:space="preserve">ImpactMojo</w:t>
          </w:r>
          <w:r w:rsidDel="00000000" w:rsidR="00000000" w:rsidRPr="00000000">
            <w:rPr>
              <w:rFonts w:ascii="Calibri" w:cs="Calibri" w:eastAsia="Calibri" w:hAnsi="Calibri"/>
              <w:color w:val="5b6776"/>
              <w:sz w:val="18"/>
              <w:szCs w:val="18"/>
              <w:rtl w:val="0"/>
            </w:rPr>
            <w:t xml:space="preserve">   ·   Survey Instrument · Pack</w:t>
          </w:r>
          <w:r w:rsidDel="00000000" w:rsidR="00000000" w:rsidRPr="00000000">
            <w:rPr>
              <w:rFonts w:ascii="Calibri" w:cs="Calibri" w:eastAsia="Calibri" w:hAnsi="Calibri"/>
              <w:color w:val="aebdcc"/>
              <w:sz w:val="16"/>
              <w:szCs w:val="16"/>
              <w:rtl w:val="0"/>
            </w:rPr>
            <w:t xml:space="preserve">Development Know-How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f172a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f172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