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color w:val="0369A1"/>
          <w:sz w:val="20"/>
        </w:rPr>
        <w:t>●  SAMPLE — preview only. Not licensed for use. Buy the full editable file at impactmojo.in/products/toc-canvas/</w:t>
      </w:r>
    </w:p>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2a49" w:val="clear"/>
            <w:tcMar>
              <w:top w:w="360.0" w:type="dxa"/>
              <w:left w:w="240.0" w:type="dxa"/>
              <w:bottom w:w="360.0" w:type="dxa"/>
              <w:right w:w="240.0" w:type="dxa"/>
            </w:tcMar>
          </w:tcPr>
          <w:p w:rsidR="00000000" w:rsidDel="00000000" w:rsidP="00000000" w:rsidRDefault="00000000" w:rsidRPr="00000000" w14:paraId="00000002">
            <w:pPr>
              <w:spacing w:after="160" w:lineRule="auto"/>
              <w:jc w:val="center"/>
              <w:rPr/>
            </w:pPr>
            <w:r w:rsidDel="00000000" w:rsidR="00000000" w:rsidRPr="00000000">
              <w:rPr/>
              <w:drawing>
                <wp:inline distB="0" distT="0" distL="0" distR="0">
                  <wp:extent cx="1866900" cy="1457325"/>
                  <wp:effectExtent b="0" l="0" r="0" t="0"/>
                  <wp:docPr descr="logo" id="1" name="image2.jpg"/>
                  <a:graphic>
                    <a:graphicData uri="http://schemas.openxmlformats.org/drawingml/2006/picture">
                      <pic:pic>
                        <pic:nvPicPr>
                          <pic:cNvPr descr="logo" id="0" name="image2.jpg"/>
                          <pic:cNvPicPr preferRelativeResize="0"/>
                        </pic:nvPicPr>
                        <pic:blipFill>
                          <a:blip r:embed="rId6"/>
                          <a:srcRect b="0" l="0" r="0" t="0"/>
                          <a:stretch>
                            <a:fillRect/>
                          </a:stretch>
                        </pic:blipFill>
                        <pic:spPr>
                          <a:xfrm>
                            <a:off x="0" y="0"/>
                            <a:ext cx="18669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b w:val="1"/>
                <w:bCs w:val="1"/>
                <w:color w:val="ffffff"/>
                <w:sz w:val="40"/>
                <w:szCs w:val="40"/>
                <w:rtl w:val="0"/>
              </w:rPr>
              <w:t xml:space="preserve">Theory of Change Canvas</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i w:val="1"/>
                <w:iCs w:val="1"/>
                <w:color w:val="0dbeb6"/>
                <w:sz w:val="22"/>
                <w:szCs w:val="22"/>
                <w:rtl w:val="0"/>
              </w:rPr>
              <w:t xml:space="preserve">The complete pack: annotated canvas, backward-mapping method, an assumptions toolkit, a facilitation guide and a worked example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color w:val="aebdcc"/>
                <w:sz w:val="17"/>
                <w:szCs w:val="17"/>
                <w:rtl w:val="0"/>
              </w:rPr>
              <w:t xml:space="preserve">Template · DOCX · ₹199</w:t>
            </w:r>
            <w:r w:rsidDel="00000000" w:rsidR="00000000" w:rsidRPr="00000000">
              <w:rPr>
                <w:rtl w:val="0"/>
              </w:rPr>
            </w:r>
          </w:p>
        </w:tc>
      </w:tr>
    </w:tbl>
    <w:p w:rsidR="00000000" w:rsidDel="00000000" w:rsidP="00000000" w:rsidRDefault="00000000" w:rsidRPr="00000000" w14:paraId="00000006">
      <w:pPr>
        <w:spacing w:after="40" w:before="160" w:lineRule="auto"/>
        <w:jc w:val="center"/>
        <w:rPr/>
      </w:pPr>
      <w:r w:rsidDel="00000000" w:rsidR="00000000" w:rsidRPr="00000000">
        <w:rPr>
          <w:rFonts w:ascii="Calibri" w:cs="Calibri" w:eastAsia="Calibri" w:hAnsi="Calibri"/>
          <w:color w:val="5b6776"/>
          <w:sz w:val="18"/>
          <w:szCs w:val="18"/>
          <w:rtl w:val="0"/>
        </w:rPr>
        <w:t xml:space="preserve">Version 2.0   ·   June 2026   ·   Part of the Evaluation Essentials Kit</w:t>
      </w:r>
      <w:r w:rsidDel="00000000" w:rsidR="00000000" w:rsidRPr="00000000">
        <w:rPr>
          <w:rtl w:val="0"/>
        </w:rPr>
      </w:r>
    </w:p>
    <w:tbl>
      <w:tblPr>
        <w:tblStyle w:val="Table2"/>
        <w:tblW w:w="9020.0" w:type="dxa"/>
        <w:jc w:val="left"/>
        <w:tblBorders>
          <w:top w:color="0c8a89" w:space="0" w:sz="4" w:val="single"/>
          <w:left w:color="0c8a89" w:space="0" w:sz="24" w:val="single"/>
          <w:bottom w:color="0c8a89" w:space="0" w:sz="4" w:val="single"/>
          <w:right w:color="0c8a89"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6f5" w:val="clear"/>
            <w:tcMar>
              <w:top w:w="100.0" w:type="dxa"/>
              <w:left w:w="160.0" w:type="dxa"/>
              <w:bottom w:w="100.0" w:type="dxa"/>
              <w:right w:w="160.0" w:type="dxa"/>
            </w:tcMar>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color w:val="0c8a89"/>
                <w:sz w:val="17"/>
                <w:szCs w:val="17"/>
                <w:rtl w:val="0"/>
              </w:rPr>
              <w:t xml:space="preserve">WHAT IS INSIDE THIS PACK</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0f172a"/>
                <w:sz w:val="20"/>
                <w:szCs w:val="20"/>
                <w:rtl w:val="0"/>
              </w:rPr>
              <w:t xml:space="preserve">Part A. What a theory of change is, and why you build it backwards.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0f172a"/>
                <w:sz w:val="20"/>
                <w:szCs w:val="20"/>
                <w:rtl w:val="0"/>
              </w:rPr>
              <w:t xml:space="preserve">Part B. The annotated canvas, block by block, with guidance, what good looks like, the mistakes to avoid, and space to draft.</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color w:val="0f172a"/>
                <w:sz w:val="20"/>
                <w:szCs w:val="20"/>
                <w:rtl w:val="0"/>
              </w:rPr>
              <w:t xml:space="preserve">Part C. Reference assets: the backward-mapping method, an assumptions toolkit, the output-versus-outcome test, a half-day workshop facilitation guide, the bridge from theory to logframe to indicators, a quality checklist, a glossary, and sources.</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alibri" w:cs="Calibri" w:eastAsia="Calibri" w:hAnsi="Calibri"/>
                <w:color w:val="0f172a"/>
                <w:sz w:val="20"/>
                <w:szCs w:val="20"/>
                <w:rtl w:val="0"/>
              </w:rPr>
              <w:t xml:space="preserve">Part D. A worked theory of change for a maternal and newborn health programme.</w:t>
            </w:r>
            <w:r w:rsidDel="00000000" w:rsidR="00000000" w:rsidRPr="00000000">
              <w:rPr>
                <w:rtl w:val="0"/>
              </w:rPr>
            </w:r>
          </w:p>
        </w:tc>
      </w:tr>
    </w:tbl>
    <w:p w:rsidR="00000000" w:rsidDel="00000000" w:rsidP="00000000" w:rsidRDefault="00000000" w:rsidRPr="00000000" w14:paraId="0000000C">
      <w:pPr>
        <w:spacing w:after="100" w:lineRule="auto"/>
        <w:rPr/>
      </w:pPr>
      <w:r w:rsidDel="00000000" w:rsidR="00000000" w:rsidRPr="00000000">
        <w:rPr>
          <w:rFonts w:ascii="Calibri" w:cs="Calibri" w:eastAsia="Calibri" w:hAnsi="Calibri"/>
          <w:i w:val="1"/>
          <w:iCs w:val="1"/>
          <w:color w:val="5b6776"/>
          <w:sz w:val="19"/>
          <w:szCs w:val="19"/>
          <w:rtl w:val="0"/>
        </w:rPr>
        <w:t xml:space="preserve">A theory of change is the explicit, testable logic from what you do to the change you want, with the assumptions that have to hold. Build it with a team in a room, not alone at a desk.</w:t>
      </w:r>
      <w:r w:rsidDel="00000000" w:rsidR="00000000" w:rsidRPr="00000000">
        <w:rPr>
          <w:rtl w:val="0"/>
        </w:rPr>
      </w:r>
    </w:p>
    <w:p w:rsidR="00000000" w:rsidDel="00000000" w:rsidP="00000000" w:rsidRDefault="00000000" w:rsidRPr="00000000" w14:paraId="0000000D">
      <w:pPr>
        <w:spacing w:after="40" w:before="320" w:lineRule="auto"/>
        <w:rPr/>
      </w:pPr>
      <w:r w:rsidDel="00000000" w:rsidR="00000000" w:rsidRPr="00000000">
        <w:rPr>
          <w:rFonts w:ascii="Calibri" w:cs="Calibri" w:eastAsia="Calibri" w:hAnsi="Calibri"/>
          <w:b w:val="1"/>
          <w:bCs w:val="1"/>
          <w:color w:val="0c8a89"/>
          <w:sz w:val="18"/>
          <w:szCs w:val="18"/>
          <w:rtl w:val="0"/>
        </w:rPr>
        <w:t xml:space="preserve">PART A</w:t>
      </w:r>
      <w:r w:rsidDel="00000000" w:rsidR="00000000" w:rsidRPr="00000000">
        <w:rPr>
          <w:rtl w:val="0"/>
        </w:rPr>
      </w:r>
    </w:p>
    <w:p w:rsidR="00000000" w:rsidDel="00000000" w:rsidP="00000000" w:rsidRDefault="00000000" w:rsidRPr="00000000" w14:paraId="0000000E">
      <w:pPr>
        <w:pBdr>
          <w:bottom w:color="152a49" w:space="5" w:sz="14" w:val="single"/>
        </w:pBdr>
        <w:spacing w:after="120" w:lineRule="auto"/>
        <w:rPr/>
      </w:pPr>
      <w:r w:rsidDel="00000000" w:rsidR="00000000" w:rsidRPr="00000000">
        <w:rPr>
          <w:rFonts w:ascii="Calibri" w:cs="Calibri" w:eastAsia="Calibri" w:hAnsi="Calibri"/>
          <w:b w:val="1"/>
          <w:bCs w:val="1"/>
          <w:color w:val="152a49"/>
          <w:sz w:val="32"/>
          <w:szCs w:val="32"/>
          <w:rtl w:val="0"/>
        </w:rPr>
        <w:t xml:space="preserve">Why you build it backwards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color w:val="0f172a"/>
          <w:sz w:val="21"/>
          <w:szCs w:val="21"/>
          <w:rtl w:val="0"/>
        </w:rPr>
        <w:t xml:space="preserve">A theory of change is most useful when it is built from the destination back to the present. Start with the long-term change you want, then ask, at each step down, what must be true just before for that to happen, and for whom. Only once the outcomes are mapped do you place the activities that produce them. Built forwards, from favourite activities, a theory becomes a justification for what you already do; built backwards, it tests whether those activities are the right ones at all.</w:t>
      </w:r>
      <w:r w:rsidDel="00000000" w:rsidR="00000000" w:rsidRPr="00000000">
        <w:rPr>
          <w:rtl w:val="0"/>
        </w:rPr>
      </w:r>
    </w:p>
    <w:p w:rsidR="00000000" w:rsidDel="00000000" w:rsidP="00000000" w:rsidRDefault="00000000" w:rsidRPr="00000000" w14:paraId="00000010">
      <w:pPr>
        <w:spacing w:after="40" w:before="320" w:lineRule="auto"/>
        <w:rPr/>
      </w:pPr>
      <w:r w:rsidDel="00000000" w:rsidR="00000000" w:rsidRPr="00000000">
        <w:rPr>
          <w:rFonts w:ascii="Calibri" w:cs="Calibri" w:eastAsia="Calibri" w:hAnsi="Calibri"/>
          <w:b w:val="1"/>
          <w:bCs w:val="1"/>
          <w:color w:val="0c8a89"/>
          <w:sz w:val="18"/>
          <w:szCs w:val="18"/>
          <w:rtl w:val="0"/>
        </w:rPr>
        <w:t xml:space="preserve">PART B</w:t>
      </w:r>
      <w:r w:rsidDel="00000000" w:rsidR="00000000" w:rsidRPr="00000000">
        <w:rPr>
          <w:rtl w:val="0"/>
        </w:rPr>
      </w:r>
    </w:p>
    <w:p w:rsidR="00000000" w:rsidDel="00000000" w:rsidP="00000000" w:rsidRDefault="00000000" w:rsidRPr="00000000" w14:paraId="00000011">
      <w:pPr>
        <w:pBdr>
          <w:bottom w:color="152a49" w:space="5" w:sz="14" w:val="single"/>
        </w:pBdr>
        <w:spacing w:after="120" w:lineRule="auto"/>
        <w:rPr/>
      </w:pPr>
      <w:r w:rsidDel="00000000" w:rsidR="00000000" w:rsidRPr="00000000">
        <w:rPr>
          <w:rFonts w:ascii="Calibri" w:cs="Calibri" w:eastAsia="Calibri" w:hAnsi="Calibri"/>
          <w:b w:val="1"/>
          <w:bCs w:val="1"/>
          <w:color w:val="152a49"/>
          <w:sz w:val="32"/>
          <w:szCs w:val="32"/>
          <w:rtl w:val="0"/>
        </w:rPr>
        <w:t xml:space="preserve">The annotated canvas</w:t>
      </w:r>
      <w:r w:rsidDel="00000000" w:rsidR="00000000" w:rsidRPr="00000000">
        <w:rPr>
          <w:rtl w:val="0"/>
        </w:rPr>
      </w:r>
    </w:p>
    <w:p w:rsidR="00000000" w:rsidDel="00000000" w:rsidP="00000000" w:rsidRDefault="00000000" w:rsidRPr="00000000" w14:paraId="00000012">
      <w:pPr>
        <w:spacing w:after="60" w:before="240" w:lineRule="auto"/>
        <w:rPr/>
      </w:pPr>
      <w:r w:rsidDel="00000000" w:rsidR="00000000" w:rsidRPr="00000000">
        <w:rPr>
          <w:rFonts w:ascii="Calibri" w:cs="Calibri" w:eastAsia="Calibri" w:hAnsi="Calibri"/>
          <w:b w:val="1"/>
          <w:bCs w:val="1"/>
          <w:color w:val="152a49"/>
          <w:sz w:val="23"/>
          <w:szCs w:val="23"/>
          <w:rtl w:val="0"/>
        </w:rPr>
        <w:t xml:space="preserve">1.  Problem and context</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problem the change addresses, and the conditions that shape it.</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Calibri" w:cs="Calibri" w:eastAsia="Calibri" w:hAnsi="Calibri"/>
          <w:i w:val="1"/>
          <w:iCs w:val="1"/>
          <w:color w:val="5b6776"/>
          <w:sz w:val="19"/>
          <w:szCs w:val="19"/>
          <w:rtl w:val="0"/>
        </w:rPr>
        <w:t xml:space="preserve">State the problem as a condition people experience, with evidence, not as the absence of your solution.</w:t>
      </w:r>
      <w:r w:rsidDel="00000000" w:rsidR="00000000" w:rsidRPr="00000000">
        <w:rPr>
          <w:rtl w:val="0"/>
        </w:rPr>
      </w:r>
    </w:p>
    <w:tbl>
      <w:tblPr>
        <w:tblStyle w:val="Table3"/>
        <w:tblW w:w="9020.0" w:type="dxa"/>
        <w:jc w:val="left"/>
        <w:tblBorders>
          <w:top w:color="e0a800" w:space="0" w:sz="4" w:val="single"/>
          <w:left w:color="e0a800" w:space="0" w:sz="24" w:val="single"/>
          <w:bottom w:color="e0a800" w:space="0" w:sz="4" w:val="single"/>
          <w:right w:color="e0a8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fff7e6" w:val="clear"/>
            <w:tcMar>
              <w:top w:w="100.0" w:type="dxa"/>
              <w:left w:w="160.0" w:type="dxa"/>
              <w:bottom w:w="100.0" w:type="dxa"/>
              <w:right w:w="160.0" w:type="dxa"/>
            </w:tcMar>
          </w:tcPr>
          <w:p w:rsidR="00000000" w:rsidDel="00000000" w:rsidP="00000000" w:rsidRDefault="00000000" w:rsidRPr="00000000" w14:paraId="00000015">
            <w:pPr>
              <w:spacing w:after="40" w:lineRule="auto"/>
              <w:rPr/>
            </w:pPr>
            <w:r w:rsidDel="00000000" w:rsidR="00000000" w:rsidRPr="00000000">
              <w:rPr>
                <w:rFonts w:ascii="Calibri" w:cs="Calibri" w:eastAsia="Calibri" w:hAnsi="Calibri"/>
                <w:b w:val="1"/>
                <w:bCs w:val="1"/>
                <w:color w:val="8a6100"/>
                <w:sz w:val="17"/>
                <w:szCs w:val="17"/>
                <w:rtl w:val="0"/>
              </w:rPr>
              <w:t xml:space="preserve">COMMON MISTAKES</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alibri" w:cs="Calibri" w:eastAsia="Calibri" w:hAnsi="Calibri"/>
                <w:color w:val="0f172a"/>
                <w:sz w:val="20"/>
                <w:szCs w:val="20"/>
                <w:rtl w:val="0"/>
              </w:rPr>
              <w:t xml:space="preserve">Defining the problem as “there is no programme”, which pre-decides the answer.</w:t>
            </w:r>
            <w:r w:rsidDel="00000000" w:rsidR="00000000" w:rsidRPr="00000000">
              <w:rPr>
                <w:rtl w:val="0"/>
              </w:rPr>
            </w:r>
          </w:p>
        </w:tc>
      </w:tr>
    </w:tbl>
    <w:p w:rsidR="00000000" w:rsidDel="00000000" w:rsidP="00000000" w:rsidRDefault="00000000" w:rsidRPr="00000000" w14:paraId="00000017">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18">
      <w:pPr>
        <w:spacing w:after="60" w:before="240" w:lineRule="auto"/>
        <w:rPr/>
      </w:pPr>
      <w:r w:rsidDel="00000000" w:rsidR="00000000" w:rsidRPr="00000000">
        <w:rPr>
          <w:rFonts w:ascii="Calibri" w:cs="Calibri" w:eastAsia="Calibri" w:hAnsi="Calibri"/>
          <w:b w:val="1"/>
          <w:bCs w:val="1"/>
          <w:color w:val="152a49"/>
          <w:sz w:val="23"/>
          <w:szCs w:val="23"/>
          <w:rtl w:val="0"/>
        </w:rPr>
        <w:t xml:space="preserve">2.  Target population</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Whose change this is, named specifically enough to design and measure for.</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Calibri" w:cs="Calibri" w:eastAsia="Calibri" w:hAnsi="Calibri"/>
          <w:i w:val="1"/>
          <w:iCs w:val="1"/>
          <w:color w:val="5b6776"/>
          <w:sz w:val="19"/>
          <w:szCs w:val="19"/>
          <w:rtl w:val="0"/>
        </w:rPr>
        <w:t xml:space="preserve">Disaggregate from the start: which women, which households, which groups, and who is hardest to reach.</w:t>
      </w:r>
      <w:r w:rsidDel="00000000" w:rsidR="00000000" w:rsidRPr="00000000">
        <w:rPr>
          <w:rtl w:val="0"/>
        </w:rPr>
      </w:r>
    </w:p>
    <w:p w:rsidR="00000000" w:rsidDel="00000000" w:rsidP="00000000" w:rsidRDefault="00000000" w:rsidRPr="00000000" w14:paraId="0000001B">
      <w:pPr>
        <w:spacing w:after="60" w:before="240" w:lineRule="auto"/>
        <w:rPr/>
      </w:pPr>
      <w:r w:rsidDel="00000000" w:rsidR="00000000" w:rsidRPr="00000000">
        <w:rPr>
          <w:rFonts w:ascii="Calibri" w:cs="Calibri" w:eastAsia="Calibri" w:hAnsi="Calibri"/>
          <w:b w:val="1"/>
          <w:bCs w:val="1"/>
          <w:color w:val="152a49"/>
          <w:sz w:val="23"/>
          <w:szCs w:val="23"/>
          <w:rtl w:val="0"/>
        </w:rPr>
        <w:t xml:space="preserve">3.  Long-term change (impact)</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destination: the lasting change you are contributing to.</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Calibri" w:cs="Calibri" w:eastAsia="Calibri" w:hAnsi="Calibri"/>
          <w:i w:val="1"/>
          <w:iCs w:val="1"/>
          <w:color w:val="5b6776"/>
          <w:sz w:val="19"/>
          <w:szCs w:val="19"/>
          <w:rtl w:val="0"/>
        </w:rPr>
        <w:t xml:space="preserve">One clear statement, expressed as a change in people's lives, not as your output. Work everything else back from here.</w:t>
      </w:r>
      <w:r w:rsidDel="00000000" w:rsidR="00000000" w:rsidRPr="00000000">
        <w:rPr>
          <w:rtl w:val="0"/>
        </w:rPr>
      </w:r>
    </w:p>
    <w:tbl>
      <w:tblPr>
        <w:tblStyle w:val="Table4"/>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1"/>
                <w:bCs w:val="1"/>
                <w:color w:val="14703f"/>
                <w:sz w:val="17"/>
                <w:szCs w:val="17"/>
                <w:rtl w:val="0"/>
              </w:rPr>
              <w:t xml:space="preserve">WHAT GOOD LOOKS LIKE</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0f172a"/>
                <w:sz w:val="20"/>
                <w:szCs w:val="20"/>
                <w:rtl w:val="0"/>
              </w:rPr>
              <w:t xml:space="preserve">A change in the population’s condition that would still matter if your organisation vanished.</w:t>
            </w:r>
            <w:r w:rsidDel="00000000" w:rsidR="00000000" w:rsidRPr="00000000">
              <w:rPr>
                <w:rtl w:val="0"/>
              </w:rPr>
            </w:r>
          </w:p>
        </w:tc>
      </w:tr>
    </w:tbl>
    <w:p w:rsidR="00000000" w:rsidDel="00000000" w:rsidP="00000000" w:rsidRDefault="00000000" w:rsidRPr="00000000" w14:paraId="00000020">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21">
      <w:pPr>
        <w:spacing w:after="60" w:before="240" w:lineRule="auto"/>
        <w:rPr/>
      </w:pPr>
      <w:r w:rsidDel="00000000" w:rsidR="00000000" w:rsidRPr="00000000">
        <w:rPr>
          <w:rFonts w:ascii="Calibri" w:cs="Calibri" w:eastAsia="Calibri" w:hAnsi="Calibri"/>
          <w:b w:val="1"/>
          <w:bCs w:val="1"/>
          <w:color w:val="152a49"/>
          <w:sz w:val="23"/>
          <w:szCs w:val="23"/>
          <w:rtl w:val="0"/>
        </w:rPr>
        <w:t xml:space="preserve">4.  Outcomes (intermediate and early)</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changes in behaviour, capacity, or conditions that must happen on the way to impact.</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Calibri" w:cs="Calibri" w:eastAsia="Calibri" w:hAnsi="Calibri"/>
          <w:i w:val="1"/>
          <w:iCs w:val="1"/>
          <w:color w:val="5b6776"/>
          <w:sz w:val="19"/>
          <w:szCs w:val="19"/>
          <w:rtl w:val="0"/>
        </w:rPr>
        <w:t xml:space="preserve">Sequence them: early outcomes enable later ones. Each should be a change, not an activity.</w:t>
      </w:r>
      <w:r w:rsidDel="00000000" w:rsidR="00000000" w:rsidRPr="00000000">
        <w:rPr>
          <w:rtl w:val="0"/>
        </w:rPr>
      </w:r>
    </w:p>
    <w:tbl>
      <w:tblPr>
        <w:tblStyle w:val="Table5"/>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24">
            <w:pPr>
              <w:spacing w:after="40" w:lineRule="auto"/>
              <w:rPr/>
            </w:pPr>
            <w:r w:rsidDel="00000000" w:rsidR="00000000" w:rsidRPr="00000000">
              <w:rPr>
                <w:rFonts w:ascii="Calibri" w:cs="Calibri" w:eastAsia="Calibri" w:hAnsi="Calibri"/>
                <w:b w:val="1"/>
                <w:bCs w:val="1"/>
                <w:color w:val="14703f"/>
                <w:sz w:val="17"/>
                <w:szCs w:val="17"/>
                <w:rtl w:val="0"/>
              </w:rPr>
              <w:t xml:space="preserve">WHAT GOOD LOOKS LIKE</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0f172a"/>
                <w:sz w:val="20"/>
                <w:szCs w:val="20"/>
                <w:rtl w:val="0"/>
              </w:rPr>
              <w:t xml:space="preserve">A chain where each outcome plausibly enables the next, with no leap of faith between them.</w:t>
            </w:r>
            <w:r w:rsidDel="00000000" w:rsidR="00000000" w:rsidRPr="00000000">
              <w:rPr>
                <w:rtl w:val="0"/>
              </w:rPr>
            </w:r>
          </w:p>
        </w:tc>
      </w:tr>
      <w:tr>
        <w:trPr>
          <w:cantSplit w:val="0"/>
          <w:tblHeader w:val="0"/>
        </w:trPr>
        <w:tc>
          <w:tcPr>
            <w:shd w:fill="fff7e6" w:val="clear"/>
            <w:tcMar>
              <w:top w:w="100.0" w:type="dxa"/>
              <w:left w:w="160.0" w:type="dxa"/>
              <w:bottom w:w="100.0" w:type="dxa"/>
              <w:right w:w="160.0" w:type="dxa"/>
            </w:tcMar>
          </w:tcPr>
          <w:p w:rsidR="00000000" w:rsidDel="00000000" w:rsidP="00000000" w:rsidRDefault="00000000" w:rsidRPr="00000000" w14:paraId="00000026">
            <w:pPr>
              <w:spacing w:after="40" w:lineRule="auto"/>
              <w:rPr/>
            </w:pPr>
            <w:r w:rsidDel="00000000" w:rsidR="00000000" w:rsidRPr="00000000">
              <w:rPr>
                <w:rFonts w:ascii="Calibri" w:cs="Calibri" w:eastAsia="Calibri" w:hAnsi="Calibri"/>
                <w:b w:val="1"/>
                <w:bCs w:val="1"/>
                <w:color w:val="8a6100"/>
                <w:sz w:val="17"/>
                <w:szCs w:val="17"/>
                <w:rtl w:val="0"/>
              </w:rPr>
              <w:t xml:space="preserve">COMMON MISTAKES</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0f172a"/>
                <w:sz w:val="20"/>
                <w:szCs w:val="20"/>
                <w:rtl w:val="0"/>
              </w:rPr>
              <w:t xml:space="preserve">Listing outputs here (“people trained”) instead of the change that training is meant to cause.</w:t>
            </w:r>
            <w:r w:rsidDel="00000000" w:rsidR="00000000" w:rsidRPr="00000000">
              <w:rPr>
                <w:rtl w:val="0"/>
              </w:rPr>
            </w:r>
          </w:p>
        </w:tc>
      </w:tr>
    </w:tbl>
    <w:p w:rsidR="00000000" w:rsidDel="00000000" w:rsidP="00000000" w:rsidRDefault="00000000" w:rsidRPr="00000000" w14:paraId="00000028">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29">
      <w:pPr>
        <w:spacing w:after="60" w:before="240" w:lineRule="auto"/>
        <w:rPr/>
      </w:pPr>
      <w:r w:rsidDel="00000000" w:rsidR="00000000" w:rsidRPr="00000000">
        <w:rPr>
          <w:rFonts w:ascii="Calibri" w:cs="Calibri" w:eastAsia="Calibri" w:hAnsi="Calibri"/>
          <w:b w:val="1"/>
          <w:bCs w:val="1"/>
          <w:color w:val="152a49"/>
          <w:sz w:val="23"/>
          <w:szCs w:val="23"/>
          <w:rtl w:val="0"/>
        </w:rPr>
        <w:t xml:space="preserve">5.  Outputs</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direct, countable products of your activities.</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Fonts w:ascii="Calibri" w:cs="Calibri" w:eastAsia="Calibri" w:hAnsi="Calibri"/>
          <w:i w:val="1"/>
          <w:iCs w:val="1"/>
          <w:color w:val="5b6776"/>
          <w:sz w:val="19"/>
          <w:szCs w:val="19"/>
          <w:rtl w:val="0"/>
        </w:rPr>
        <w:t xml:space="preserve">These are what you deliver and control. They are not yet change; the outcome is what they cause.</w:t>
      </w:r>
      <w:r w:rsidDel="00000000" w:rsidR="00000000" w:rsidRPr="00000000">
        <w:rPr>
          <w:rtl w:val="0"/>
        </w:rPr>
      </w:r>
    </w:p>
    <w:p w:rsidR="00000000" w:rsidDel="00000000" w:rsidP="00000000" w:rsidRDefault="00000000" w:rsidRPr="00000000" w14:paraId="0000002C">
      <w:pPr>
        <w:spacing w:after="60" w:before="240" w:lineRule="auto"/>
        <w:rPr/>
      </w:pPr>
      <w:r w:rsidDel="00000000" w:rsidR="00000000" w:rsidRPr="00000000">
        <w:rPr>
          <w:rFonts w:ascii="Calibri" w:cs="Calibri" w:eastAsia="Calibri" w:hAnsi="Calibri"/>
          <w:b w:val="1"/>
          <w:bCs w:val="1"/>
          <w:color w:val="152a49"/>
          <w:sz w:val="23"/>
          <w:szCs w:val="23"/>
          <w:rtl w:val="0"/>
        </w:rPr>
        <w:t xml:space="preserve">6.  Activities and inputs</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What you do, and the resources it takes.</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Calibri" w:cs="Calibri" w:eastAsia="Calibri" w:hAnsi="Calibri"/>
          <w:i w:val="1"/>
          <w:iCs w:val="1"/>
          <w:color w:val="5b6776"/>
          <w:sz w:val="19"/>
          <w:szCs w:val="19"/>
          <w:rtl w:val="0"/>
        </w:rPr>
        <w:t xml:space="preserve">Place activities only after the outcomes are mapped, and justify each by the outcome it serves.</w:t>
      </w:r>
      <w:r w:rsidDel="00000000" w:rsidR="00000000" w:rsidRPr="00000000">
        <w:rPr>
          <w:rtl w:val="0"/>
        </w:rPr>
      </w:r>
    </w:p>
    <w:p w:rsidR="00000000" w:rsidDel="00000000" w:rsidP="00000000" w:rsidRDefault="00000000" w:rsidRPr="00000000" w14:paraId="0000002F">
      <w:pPr>
        <w:spacing w:after="60" w:before="240" w:lineRule="auto"/>
        <w:rPr/>
      </w:pPr>
      <w:r w:rsidDel="00000000" w:rsidR="00000000" w:rsidRPr="00000000">
        <w:rPr>
          <w:rFonts w:ascii="Calibri" w:cs="Calibri" w:eastAsia="Calibri" w:hAnsi="Calibri"/>
          <w:b w:val="1"/>
          <w:bCs w:val="1"/>
          <w:color w:val="152a49"/>
          <w:sz w:val="23"/>
          <w:szCs w:val="23"/>
          <w:rtl w:val="0"/>
        </w:rPr>
        <w:t xml:space="preserve">7.  Assumptions</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Fonts w:ascii="Calibri" w:cs="Calibri" w:eastAsia="Calibri" w:hAnsi="Calibri"/>
          <w:b w:val="1"/>
          <w:bCs w:val="1"/>
          <w:color w:val="0c8a89"/>
          <w:sz w:val="20"/>
          <w:szCs w:val="20"/>
          <w:rtl w:val="0"/>
        </w:rPr>
        <w:t xml:space="preserve">What this block is for.  </w:t>
      </w:r>
      <w:r w:rsidDel="00000000" w:rsidR="00000000" w:rsidRPr="00000000">
        <w:rPr>
          <w:rFonts w:ascii="Calibri" w:cs="Calibri" w:eastAsia="Calibri" w:hAnsi="Calibri"/>
          <w:color w:val="0f172a"/>
          <w:sz w:val="20"/>
          <w:szCs w:val="20"/>
          <w:rtl w:val="0"/>
        </w:rPr>
        <w:t xml:space="preserve">The beliefs that sit between each pair of levels, on which the whole chain depends.</w:t>
      </w:r>
      <w:r w:rsidDel="00000000" w:rsidR="00000000" w:rsidRPr="00000000">
        <w:rPr>
          <w:rtl w:val="0"/>
        </w:rPr>
      </w:r>
    </w:p>
    <w:p>
      <w:r>
        <w:rPr>
          <w:i/>
          <w:color w:val="64748B"/>
          <w:sz w:val="18"/>
        </w:rPr>
        <w:t>— Sample ends here —  The full editable file (all sections, reference assets and a worked example) is delivered after purchase at impactmojo.in/products/toc-canvas/</w:t>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20.0" w:type="dxa"/>
      <w:jc w:val="left"/>
      <w:tblBorders>
        <w:top w:color="000000" w:space="0" w:sz="0" w:val="nil"/>
        <w:left w:color="000000" w:space="0" w:sz="0" w:val="nil"/>
        <w:bottom w:color="0c8a89" w:space="0" w:sz="8" w:val="single"/>
        <w:right w:color="000000" w:space="0" w:sz="0" w:val="nil"/>
        <w:insideH w:color="000000" w:space="0" w:sz="0" w:val="nil"/>
        <w:insideV w:color="000000" w:space="0" w:sz="0" w:val="nil"/>
      </w:tblBorders>
      <w:tblLayout w:type="fixed"/>
      <w:tblLook w:val="0000"/>
    </w:tblPr>
    <w:tblGrid>
      <w:gridCol w:w="620"/>
      <w:gridCol w:w="8400"/>
      <w:tblGridChange w:id="0">
        <w:tblGrid>
          <w:gridCol w:w="620"/>
          <w:gridCol w:w="8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60.0" w:type="dxa"/>
            <w:right w:w="80.0" w:type="dxa"/>
          </w:tcMar>
          <w:vAlign w:val="center"/>
        </w:tcPr>
        <w:p w:rsidR="00000000" w:rsidDel="00000000" w:rsidP="00000000" w:rsidRDefault="00000000" w:rsidRPr="00000000" w14:paraId="000000A4">
          <w:pPr>
            <w:rPr/>
          </w:pPr>
          <w:r w:rsidDel="00000000" w:rsidR="00000000" w:rsidRPr="00000000">
            <w:rPr/>
            <w:drawing>
              <wp:inline distB="0" distT="0" distL="0" distR="0">
                <wp:extent cx="285750" cy="285750"/>
                <wp:effectExtent b="0" l="0" r="0" t="0"/>
                <wp:docPr descr="mark" id="2" name="image1.png"/>
                <a:graphic>
                  <a:graphicData uri="http://schemas.openxmlformats.org/drawingml/2006/picture">
                    <pic:pic>
                      <pic:nvPicPr>
                        <pic:cNvPr descr="mark" id="0" name="image1.png"/>
                        <pic:cNvPicPr preferRelativeResize="0"/>
                      </pic:nvPicPr>
                      <pic:blipFill>
                        <a:blip r:embed="rId1"/>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0.0" w:type="dxa"/>
            <w:bottom w:w="60.0" w:type="dxa"/>
            <w:right w:w="0.0" w:type="dxa"/>
          </w:tcMar>
          <w:vAlign w:val="center"/>
        </w:tcPr>
        <w:p w:rsidR="00000000" w:rsidDel="00000000" w:rsidP="00000000" w:rsidRDefault="00000000" w:rsidRPr="00000000" w14:paraId="000000A5">
          <w:pPr>
            <w:tabs>
              <w:tab w:val="right" w:leader="none" w:pos="9026"/>
            </w:tabs>
            <w:rPr/>
          </w:pPr>
          <w:r w:rsidDel="00000000" w:rsidR="00000000" w:rsidRPr="00000000">
            <w:rPr>
              <w:rFonts w:ascii="Calibri" w:cs="Calibri" w:eastAsia="Calibri" w:hAnsi="Calibri"/>
              <w:b w:val="1"/>
              <w:bCs w:val="1"/>
              <w:color w:val="152a49"/>
              <w:sz w:val="18"/>
              <w:szCs w:val="18"/>
              <w:rtl w:val="0"/>
            </w:rPr>
            <w:t xml:space="preserve">ImpactMojo</w:t>
          </w:r>
          <w:r w:rsidDel="00000000" w:rsidR="00000000" w:rsidRPr="00000000">
            <w:rPr>
              <w:rFonts w:ascii="Calibri" w:cs="Calibri" w:eastAsia="Calibri" w:hAnsi="Calibri"/>
              <w:color w:val="5b6776"/>
              <w:sz w:val="18"/>
              <w:szCs w:val="18"/>
              <w:rtl w:val="0"/>
            </w:rPr>
            <w:t xml:space="preserve">   ·   Theory of Change Canvas · Pack</w:t>
          </w:r>
          <w:r w:rsidDel="00000000" w:rsidR="00000000" w:rsidRPr="00000000">
            <w:rPr>
              <w:rFonts w:ascii="Calibri" w:cs="Calibri" w:eastAsia="Calibri" w:hAnsi="Calibri"/>
              <w:color w:val="aebdcc"/>
              <w:sz w:val="16"/>
              <w:szCs w:val="16"/>
              <w:rtl w:val="0"/>
            </w:rPr>
            <w:t xml:space="preserve">Development Know-How</w:t>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f17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